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83E95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运动保健与健康管理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47290F5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731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4F6F5DD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2AC8CC">
            <w:pPr>
              <w:widowControl w:val="0"/>
              <w:jc w:val="lef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运动保健与健康管理</w:t>
            </w:r>
          </w:p>
        </w:tc>
      </w:tr>
      <w:tr w14:paraId="13B1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BB1C0A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D0BE8B0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2"/>
              </w:rPr>
              <w:t>Exercise and Health</w:t>
            </w:r>
          </w:p>
        </w:tc>
      </w:tr>
      <w:tr w14:paraId="0CC2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681B0D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80A2849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2170031</w:t>
            </w:r>
          </w:p>
        </w:tc>
        <w:tc>
          <w:tcPr>
            <w:tcW w:w="2126" w:type="dxa"/>
            <w:gridSpan w:val="2"/>
            <w:vAlign w:val="center"/>
          </w:tcPr>
          <w:p w14:paraId="52F57A37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810DD4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1FAE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29507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课程学时</w:t>
            </w:r>
          </w:p>
        </w:tc>
        <w:tc>
          <w:tcPr>
            <w:tcW w:w="2260" w:type="dxa"/>
            <w:vAlign w:val="center"/>
          </w:tcPr>
          <w:p w14:paraId="3FC0283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2A81A56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7521174">
            <w:pPr>
              <w:widowControl w:val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26B48ED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08E5D1A">
            <w:pPr>
              <w:widowControl w:val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 w14:paraId="4906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93366C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4A7CEE5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075360B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82F328">
            <w:pPr>
              <w:widowControl w:val="0"/>
              <w:ind w:firstLine="630" w:firstLineChars="30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养老服务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14:paraId="36E4DAA9">
            <w:pPr>
              <w:widowControl w:val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2022级、2023级</w:t>
            </w:r>
          </w:p>
        </w:tc>
      </w:tr>
      <w:tr w14:paraId="28AC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6C06B1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DD0B1F4">
            <w:pPr>
              <w:widowControl w:val="0"/>
              <w:ind w:firstLine="210" w:firstLineChars="1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专业基础</w:t>
            </w:r>
            <w:r>
              <w:rPr>
                <w:rFonts w:hint="eastAsia"/>
                <w:color w:val="000000"/>
                <w:sz w:val="21"/>
                <w:szCs w:val="21"/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 w14:paraId="4C028DE9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E1382F1">
            <w:pPr>
              <w:widowControl w:val="0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 w14:paraId="6685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D5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A5F8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《运动与健康》，9787040581089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主编：孟昭莉 李梵松元文学，高等教育出版社，2022</w:t>
            </w:r>
          </w:p>
        </w:tc>
        <w:tc>
          <w:tcPr>
            <w:tcW w:w="1413" w:type="dxa"/>
            <w:gridSpan w:val="2"/>
            <w:vAlign w:val="center"/>
          </w:tcPr>
          <w:p w14:paraId="460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是否为</w:t>
            </w:r>
          </w:p>
          <w:p w14:paraId="6AAD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F901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20" w:leftChars="50"/>
              <w:jc w:val="left"/>
              <w:textAlignment w:val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否</w:t>
            </w:r>
          </w:p>
        </w:tc>
      </w:tr>
      <w:tr w14:paraId="6FD9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DF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7E8CF0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正常人体结构学21700001（3）、正常人体功能学2170002（3）</w:t>
            </w:r>
          </w:p>
        </w:tc>
      </w:tr>
      <w:tr w14:paraId="09AF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C9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ADD8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20" w:lineRule="exact"/>
              <w:ind w:firstLine="300" w:firstLineChars="150"/>
              <w:jc w:val="left"/>
              <w:textAlignment w:val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本课程是健康服务与管理专业的专业选修课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本课程以健康体适能发展的运动处方为主线，论述了运动生理、运动解剖、生物力学、运动营养、运动心理干预、运动损伤康复与慢性疾病预防等健康管理的主要领域和不同方面。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在现实和学术背景下，该课程适应健康服务与管理新专业的教学需求。</w:t>
            </w:r>
          </w:p>
          <w:p w14:paraId="12498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20" w:lineRule="exact"/>
              <w:ind w:firstLine="300" w:firstLineChars="150"/>
              <w:jc w:val="left"/>
              <w:textAlignment w:val="auto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学习本课程，</w:t>
            </w:r>
            <w:r>
              <w:rPr>
                <w:rFonts w:hint="eastAsia"/>
                <w:color w:val="000000"/>
                <w:sz w:val="20"/>
                <w:szCs w:val="20"/>
              </w:rPr>
              <w:t>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      </w:r>
          </w:p>
        </w:tc>
      </w:tr>
      <w:tr w14:paraId="1302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0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101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1CE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220" w:lineRule="exact"/>
              <w:ind w:firstLine="300" w:firstLineChars="150"/>
              <w:jc w:val="left"/>
              <w:textAlignment w:val="auto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本课程养老服务专业二年级、三年级本科生授课，要求学生具有正常人体结构学、功能学等相关基础医学知识。</w:t>
            </w:r>
          </w:p>
        </w:tc>
      </w:tr>
      <w:tr w14:paraId="271C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AA2159B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20D2083"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402590" cy="318135"/>
                  <wp:effectExtent l="0" t="0" r="8890" b="1905"/>
                  <wp:docPr id="1026" name="图片 1" descr="c21c144c2347f89e8eda02696ec9aff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c21c144c2347f89e8eda02696ec9affd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E05D00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3D5706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2.13</w:t>
            </w:r>
          </w:p>
        </w:tc>
      </w:tr>
      <w:tr w14:paraId="38A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F7C67E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E6ECD4A">
            <w:pPr>
              <w:widowControl w:val="0"/>
              <w:jc w:val="right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82600" cy="276225"/>
                  <wp:effectExtent l="0" t="0" r="0" b="3175"/>
                  <wp:docPr id="1" name="图片 1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0988C8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9CB21B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2.13</w:t>
            </w:r>
          </w:p>
        </w:tc>
      </w:tr>
      <w:tr w14:paraId="5169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BFCFF66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3ECA582"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drawing>
                <wp:inline distT="0" distB="0" distL="0" distR="0">
                  <wp:extent cx="790575" cy="361950"/>
                  <wp:effectExtent l="0" t="0" r="9525" b="0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768B18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BAE4B3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2.19</w:t>
            </w:r>
            <w:bookmarkStart w:id="4" w:name="_GoBack"/>
            <w:bookmarkEnd w:id="4"/>
          </w:p>
        </w:tc>
      </w:tr>
    </w:tbl>
    <w:p w14:paraId="57E2C5E4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A7EFD0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0E0EB48">
      <w:pPr>
        <w:pStyle w:val="18"/>
        <w:spacing w:before="163" w:after="163"/>
        <w:rPr>
          <w:rFonts w:hint="eastAsia"/>
        </w:rPr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AF2F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7560D5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FAB2CE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65B88B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F0AF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04820C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B428BB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</w:tcPr>
          <w:p w14:paraId="225FFFD0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</w:tr>
      <w:tr w14:paraId="78870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72814E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56AD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</w:tcPr>
          <w:p w14:paraId="7391EE34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0459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AC070D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F153738">
            <w:pPr>
              <w:tabs>
                <w:tab w:val="left" w:pos="235"/>
              </w:tabs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ab/>
            </w: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14:paraId="49A47267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</w:tr>
      <w:tr w14:paraId="318C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E2A6DF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D8456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A26FB7B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4EE5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604EBED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15DCD1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16E0A1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66DA4A53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</w:tr>
    </w:tbl>
    <w:p w14:paraId="3A44E6A6">
      <w:pPr>
        <w:pStyle w:val="18"/>
        <w:spacing w:before="163" w:after="163"/>
        <w:rPr>
          <w:rFonts w:hint="eastAsia"/>
        </w:rPr>
      </w:pPr>
    </w:p>
    <w:p w14:paraId="571F6E6E">
      <w:pPr>
        <w:pStyle w:val="18"/>
        <w:numPr>
          <w:ilvl w:val="0"/>
          <w:numId w:val="1"/>
        </w:numPr>
        <w:spacing w:before="163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61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rPr>
          <w:trHeight w:val="1482" w:hRule="atLeast"/>
        </w:trPr>
        <w:tc>
          <w:tcPr>
            <w:tcW w:w="8296" w:type="dxa"/>
          </w:tcPr>
          <w:p w14:paraId="74D2F44E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DE25E94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firstLine="420" w:firstLineChars="200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②遵纪守法，增强法律意识，培养法律思维，自觉遵守法律法规、校纪校规。</w:t>
            </w:r>
          </w:p>
        </w:tc>
      </w:tr>
      <w:tr w14:paraId="25748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2878920F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LO2专业能力：掌握管理学、社会学、护理学等学科基础理论和专门知识，能够熟练运用养老机构经营管理、老年健康管理、老年照护等专业技能，具备现代养老服务管理的理念和素养。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0BE7D3EE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④健康咨询：掌握健康保健专业知识，为服务对象提供健康咨询服务。能确定服务对象的健康需求，并采用合适的健康教育方法。</w:t>
            </w:r>
          </w:p>
        </w:tc>
      </w:tr>
      <w:tr w14:paraId="126B3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AD32CAF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LO3表达沟通：理解他人的观点，尊重他人的价值观，能在不同场合用书面或口头形式进行有效沟通。</w:t>
            </w:r>
          </w:p>
          <w:p w14:paraId="4934E082"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②应用书面或口头形式，阐释自己的观点，有效沟通</w:t>
            </w:r>
          </w:p>
        </w:tc>
      </w:tr>
    </w:tbl>
    <w:p w14:paraId="046BD5A6">
      <w:pPr>
        <w:pStyle w:val="18"/>
        <w:numPr>
          <w:ilvl w:val="0"/>
          <w:numId w:val="0"/>
        </w:numPr>
        <w:spacing w:before="163" w:after="163"/>
        <w:rPr>
          <w:rFonts w:hint="eastAsia"/>
        </w:rPr>
      </w:pPr>
    </w:p>
    <w:p w14:paraId="38B10E3D">
      <w:pPr>
        <w:pStyle w:val="18"/>
        <w:spacing w:before="163" w:after="163"/>
        <w:rPr>
          <w:rFonts w:hint="eastAsia"/>
        </w:rPr>
      </w:pPr>
    </w:p>
    <w:p w14:paraId="66EA7E21">
      <w:pPr>
        <w:pStyle w:val="18"/>
        <w:spacing w:before="163" w:after="163"/>
        <w:rPr>
          <w:rFonts w:hint="eastAsia"/>
        </w:rPr>
      </w:pPr>
    </w:p>
    <w:p w14:paraId="75AEE7F3"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A5F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1DFE5A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AD8AB1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E65AC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A1145A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5C20A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667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2801A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2A40F60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D0222F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11C345A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D30FE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612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F61D2E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14767A3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A3E083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</w:tcPr>
          <w:p w14:paraId="16D2F052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运动损伤的常见急救方法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11705B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1D14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E7D7228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132950BF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4AE7EB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49893CBB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D6342C7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7EAB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6AF34F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69CAAEB3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DAF8D3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74F1B2B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7F19B43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0655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F8D0BE3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77BDB38"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1003E75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A2E6369">
            <w:pPr>
              <w:pStyle w:val="15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86DBA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0634521">
      <w:pPr>
        <w:pStyle w:val="14"/>
      </w:pPr>
    </w:p>
    <w:p w14:paraId="699C5590"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270968">
      <w:pPr>
        <w:pStyle w:val="18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40229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8BEAF9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D2F66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B3F686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61C570C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9492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25A390">
            <w:pPr>
              <w:pStyle w:val="14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DDE20D">
            <w:pPr>
              <w:pStyle w:val="14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39317">
            <w:pPr>
              <w:pStyle w:val="14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0CE528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47B28C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F0567F"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16137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F87DC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7DA0D9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92889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43445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130E6E0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57447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9C6C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CA697B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FF0A10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9852A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3075E1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272C8DB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5ED5B9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5AEAE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67CB5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885097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A8D8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A02D8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1C007B2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347FB8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90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A01506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A4C121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5B75C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8F3E3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7D9A7FF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ED5D9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75224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43DE8A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397A56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C0B0E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62ABC8A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717F3984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AFCDE9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 w14:paraId="62D10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5038AD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29AEB1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73CE8D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C276CC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221C17A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FC944F2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1C1F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BD742E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AD663A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D0586B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6266C0F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4535FF77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E2744AE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44FE0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34435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461093">
            <w:pPr>
              <w:snapToGrid w:val="0"/>
              <w:spacing w:line="288" w:lineRule="auto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F5E3F8">
            <w:pPr>
              <w:snapToGrid w:val="0"/>
              <w:spacing w:line="288" w:lineRule="auto"/>
              <w:jc w:val="center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17F6D2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</w:tcPr>
          <w:p w14:paraId="0EE30E48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0886AA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75486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6FD0CA">
            <w:pPr>
              <w:pStyle w:val="15"/>
              <w:rPr>
                <w:rFonts w:hint="eastAsia"/>
              </w:rPr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83184E">
            <w:pPr>
              <w:pStyle w:val="15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7A081">
            <w:pPr>
              <w:pStyle w:val="15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E873BC"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default" w:eastAsia="黑体"/>
                <w:szCs w:val="16"/>
                <w:lang w:val="en-US" w:eastAsia="zh-CN"/>
              </w:rPr>
              <w:t>8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E3F30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</w:t>
            </w:r>
            <w:r>
              <w:rPr>
                <w:rFonts w:hint="default" w:ascii="Arial" w:hAnsi="Arial" w:eastAsia="黑体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1B3432">
            <w:pPr>
              <w:pStyle w:val="15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32</w:t>
            </w:r>
          </w:p>
        </w:tc>
      </w:tr>
      <w:tr w14:paraId="065ED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4C94"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F4E8B61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C50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36BFCE06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运动行为改变</w:t>
            </w:r>
          </w:p>
        </w:tc>
      </w:tr>
      <w:tr w14:paraId="3D658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EA763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掌握动机访谈的方法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22E91AB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使用运动行为改变的技巧</w:t>
            </w:r>
          </w:p>
        </w:tc>
      </w:tr>
      <w:tr w14:paraId="6B95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5349BD">
            <w:pPr>
              <w:widowControl w:val="0"/>
              <w:spacing w:line="440" w:lineRule="exact"/>
              <w:jc w:val="both"/>
              <w:rPr>
                <w:rFonts w:hint="default" w:eastAsia="宋体" w:cs="仿宋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 w:cs="仿宋"/>
                <w:bCs/>
                <w:color w:val="000000"/>
                <w:szCs w:val="21"/>
                <w:lang w:val="en-US" w:eastAsia="zh-CN"/>
              </w:rPr>
              <w:t>运动与耐力</w:t>
            </w:r>
          </w:p>
        </w:tc>
      </w:tr>
      <w:tr w14:paraId="3F28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0E6148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1、掌握测评心肺耐力的方法</w:t>
            </w:r>
          </w:p>
          <w:p w14:paraId="29917B3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2、学习运动对心血管系统的影响和有氧运动的相关问题</w:t>
            </w:r>
          </w:p>
        </w:tc>
      </w:tr>
      <w:tr w14:paraId="6C3B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296" w:type="dxa"/>
          </w:tcPr>
          <w:p w14:paraId="5332D5DE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实验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运动与骨骼</w:t>
            </w:r>
          </w:p>
        </w:tc>
      </w:tr>
      <w:tr w14:paraId="47C1F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CBEEAC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增强骨关节保健意识。</w:t>
            </w:r>
          </w:p>
          <w:p w14:paraId="6204EDB5">
            <w:pPr>
              <w:pStyle w:val="15"/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掌握骨健康知识及合理的骨锻炼方法。</w:t>
            </w:r>
          </w:p>
        </w:tc>
      </w:tr>
      <w:tr w14:paraId="71C1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2B1E0AF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实验4：运动与肌肉适能</w:t>
            </w:r>
          </w:p>
        </w:tc>
      </w:tr>
      <w:tr w14:paraId="26356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D9E424">
            <w:pPr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掌握肌肉力量和肌肉耐力的分类</w:t>
            </w:r>
          </w:p>
          <w:p w14:paraId="7055B00E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2、掌握影响肌肉力量的因素、肌肉力量训练的基本原则，熟悉肌肉力量训练的方法</w:t>
            </w:r>
          </w:p>
        </w:tc>
      </w:tr>
      <w:tr w14:paraId="33CD1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16DD5E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实验5：运动与体重管理</w:t>
            </w:r>
          </w:p>
        </w:tc>
      </w:tr>
      <w:tr w14:paraId="5200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9A1AA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能说出三大功能系统的机制，了解运动过程中的能量代谢原理</w:t>
            </w:r>
          </w:p>
          <w:p w14:paraId="6EC135E7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7452D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CFC5A1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实验6：运动与柔韧素质</w:t>
            </w:r>
          </w:p>
        </w:tc>
      </w:tr>
      <w:tr w14:paraId="63B89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22EBAA5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掌握基本拉伸技术和练习方法以及在运动中如何正确使用</w:t>
            </w:r>
          </w:p>
          <w:p w14:paraId="6AFF24A1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熟悉柔韧性练习计划的组成，学会在运动计划中合理安排柔韧性练习</w:t>
            </w:r>
          </w:p>
        </w:tc>
      </w:tr>
      <w:tr w14:paraId="768AA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A1E3E5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实验7：运动与疲劳</w:t>
            </w:r>
          </w:p>
        </w:tc>
      </w:tr>
      <w:tr w14:paraId="1BCF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B1F17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理解运动与疲劳恢复的相互作用</w:t>
            </w:r>
          </w:p>
          <w:p w14:paraId="42F6A2B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掌握促进人体机能恢复的措施和方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</w:t>
            </w:r>
          </w:p>
        </w:tc>
      </w:tr>
      <w:tr w14:paraId="0817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3209679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实验8：运动与损伤</w:t>
            </w:r>
          </w:p>
        </w:tc>
      </w:tr>
      <w:tr w14:paraId="13DDD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8B0B8A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理解体育锻炼与心理健康的相互作用。</w:t>
            </w:r>
          </w:p>
          <w:p w14:paraId="2505AF63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掌握体育锻炼对心理问题的辅助治疗方法。</w:t>
            </w:r>
          </w:p>
        </w:tc>
      </w:tr>
    </w:tbl>
    <w:p w14:paraId="6C5B646C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p w14:paraId="7D70FECF">
      <w:pPr>
        <w:pStyle w:val="18"/>
        <w:numPr>
          <w:ilvl w:val="0"/>
          <w:numId w:val="1"/>
        </w:numPr>
        <w:spacing w:before="163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各实验项目对课程目标的支撑关系</w:t>
      </w:r>
    </w:p>
    <w:tbl>
      <w:tblPr>
        <w:tblStyle w:val="8"/>
        <w:tblW w:w="4876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9"/>
        <w:gridCol w:w="1473"/>
        <w:gridCol w:w="1419"/>
        <w:gridCol w:w="1404"/>
        <w:gridCol w:w="1432"/>
      </w:tblGrid>
      <w:tr w14:paraId="23FC7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539" w:type="dxa"/>
            <w:tcBorders>
              <w:tl2br w:val="single" w:color="auto" w:sz="4" w:space="0"/>
            </w:tcBorders>
          </w:tcPr>
          <w:p w14:paraId="327DEB9E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D74E257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262467A6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473" w:type="dxa"/>
            <w:vAlign w:val="center"/>
          </w:tcPr>
          <w:p w14:paraId="67542FC0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419" w:type="dxa"/>
            <w:vAlign w:val="center"/>
          </w:tcPr>
          <w:p w14:paraId="5C6FD2C2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 w14:paraId="506993B6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 w14:paraId="7732F2FD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7A3D8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71EAD507">
            <w:pPr>
              <w:snapToGrid w:val="0"/>
              <w:spacing w:line="288" w:lineRule="auto"/>
              <w:jc w:val="left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1473" w:type="dxa"/>
            <w:vAlign w:val="center"/>
          </w:tcPr>
          <w:p w14:paraId="5D1FB291">
            <w:pPr>
              <w:pStyle w:val="15"/>
            </w:pPr>
          </w:p>
        </w:tc>
        <w:tc>
          <w:tcPr>
            <w:tcW w:w="1419" w:type="dxa"/>
            <w:vAlign w:val="center"/>
          </w:tcPr>
          <w:p w14:paraId="5C93822F">
            <w:pPr>
              <w:pStyle w:val="15"/>
            </w:pPr>
          </w:p>
        </w:tc>
        <w:tc>
          <w:tcPr>
            <w:tcW w:w="1404" w:type="dxa"/>
            <w:vAlign w:val="center"/>
          </w:tcPr>
          <w:p w14:paraId="317CFA20">
            <w:pPr>
              <w:pStyle w:val="15"/>
            </w:pPr>
          </w:p>
        </w:tc>
        <w:tc>
          <w:tcPr>
            <w:tcW w:w="1432" w:type="dxa"/>
            <w:vAlign w:val="center"/>
          </w:tcPr>
          <w:p w14:paraId="0A94D3E5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5ECD0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bottom w:val="single" w:color="auto" w:sz="4" w:space="0"/>
            </w:tcBorders>
            <w:vAlign w:val="center"/>
          </w:tcPr>
          <w:p w14:paraId="1D61EBCC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 w14:paraId="462FB775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2C74B43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vAlign w:val="center"/>
          </w:tcPr>
          <w:p w14:paraId="1E85954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  <w:tcBorders>
              <w:bottom w:val="single" w:color="auto" w:sz="4" w:space="0"/>
            </w:tcBorders>
            <w:vAlign w:val="center"/>
          </w:tcPr>
          <w:p w14:paraId="1AD9DEC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6BB34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C2F2"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569B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A56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F98F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9CC3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06F48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tcBorders>
              <w:top w:val="single" w:color="auto" w:sz="4" w:space="0"/>
            </w:tcBorders>
            <w:vAlign w:val="center"/>
          </w:tcPr>
          <w:p w14:paraId="600B3985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1473" w:type="dxa"/>
            <w:tcBorders>
              <w:top w:val="single" w:color="auto" w:sz="4" w:space="0"/>
            </w:tcBorders>
          </w:tcPr>
          <w:p w14:paraId="39E04161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19" w:type="dxa"/>
            <w:tcBorders>
              <w:top w:val="single" w:color="auto" w:sz="4" w:space="0"/>
            </w:tcBorders>
          </w:tcPr>
          <w:p w14:paraId="278CCE1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04" w:type="dxa"/>
            <w:tcBorders>
              <w:top w:val="single" w:color="auto" w:sz="4" w:space="0"/>
            </w:tcBorders>
          </w:tcPr>
          <w:p w14:paraId="305859F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  <w:tcBorders>
              <w:top w:val="single" w:color="auto" w:sz="4" w:space="0"/>
            </w:tcBorders>
          </w:tcPr>
          <w:p w14:paraId="18061FB6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5831C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041491EF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1473" w:type="dxa"/>
          </w:tcPr>
          <w:p w14:paraId="30F860C6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19" w:type="dxa"/>
          </w:tcPr>
          <w:p w14:paraId="4804E9E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04" w:type="dxa"/>
          </w:tcPr>
          <w:p w14:paraId="4CC248D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</w:tcPr>
          <w:p w14:paraId="6A3D7FB8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39E9D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7F3A61D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1473" w:type="dxa"/>
          </w:tcPr>
          <w:p w14:paraId="4FC2F392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19" w:type="dxa"/>
          </w:tcPr>
          <w:p w14:paraId="4DBD4A4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04" w:type="dxa"/>
          </w:tcPr>
          <w:p w14:paraId="0A3FC4A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</w:tcPr>
          <w:p w14:paraId="6D40B66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2E4B4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1BDC3E3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1473" w:type="dxa"/>
          </w:tcPr>
          <w:p w14:paraId="431837C7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19" w:type="dxa"/>
          </w:tcPr>
          <w:p w14:paraId="1C8181F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04" w:type="dxa"/>
          </w:tcPr>
          <w:p w14:paraId="2EDB9F66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</w:tcPr>
          <w:p w14:paraId="7D766639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  <w:tr w14:paraId="6060A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539" w:type="dxa"/>
            <w:vAlign w:val="center"/>
          </w:tcPr>
          <w:p w14:paraId="5F135001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1473" w:type="dxa"/>
          </w:tcPr>
          <w:p w14:paraId="24C2B3DD">
            <w:pPr>
              <w:pStyle w:val="15"/>
            </w:pPr>
          </w:p>
        </w:tc>
        <w:tc>
          <w:tcPr>
            <w:tcW w:w="1419" w:type="dxa"/>
          </w:tcPr>
          <w:p w14:paraId="7039C3B6">
            <w:pPr>
              <w:pStyle w:val="15"/>
            </w:pPr>
          </w:p>
        </w:tc>
        <w:tc>
          <w:tcPr>
            <w:tcW w:w="1404" w:type="dxa"/>
          </w:tcPr>
          <w:p w14:paraId="0E75B58A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  <w:tc>
          <w:tcPr>
            <w:tcW w:w="1432" w:type="dxa"/>
          </w:tcPr>
          <w:p w14:paraId="5ABAFF17">
            <w:pPr>
              <w:pStyle w:val="15"/>
            </w:pPr>
            <w:r>
              <w:rPr>
                <w:color w:val="000000"/>
                <w:sz w:val="21"/>
                <w:szCs w:val="21"/>
              </w:rPr>
              <w:t>√</w:t>
            </w:r>
          </w:p>
        </w:tc>
      </w:tr>
    </w:tbl>
    <w:p w14:paraId="430E2AEF">
      <w:pPr>
        <w:pStyle w:val="18"/>
        <w:numPr>
          <w:ilvl w:val="0"/>
          <w:numId w:val="0"/>
        </w:numPr>
        <w:spacing w:before="163" w:after="163"/>
        <w:ind w:leftChars="0"/>
        <w:rPr>
          <w:rFonts w:hint="eastAsia"/>
        </w:rPr>
      </w:pPr>
    </w:p>
    <w:bookmarkEnd w:id="0"/>
    <w:bookmarkEnd w:id="1"/>
    <w:p w14:paraId="70CF945F"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3EB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A906F76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4DB4826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1.通过视频、新闻案例，让学生了解康复的悠久历史以及世界对康复的认可，激发学生的学习热情；</w:t>
            </w:r>
          </w:p>
          <w:p w14:paraId="39797B84">
            <w:pPr>
              <w:pStyle w:val="15"/>
              <w:widowControl w:val="0"/>
              <w:jc w:val="left"/>
            </w:pPr>
          </w:p>
          <w:p w14:paraId="398458EA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2.通过“引导文教学法”、“任务驱动法”，培养学生自主学习、团队合作的能力；</w:t>
            </w:r>
          </w:p>
          <w:p w14:paraId="213EE965">
            <w:pPr>
              <w:pStyle w:val="15"/>
              <w:widowControl w:val="0"/>
              <w:jc w:val="left"/>
            </w:pPr>
          </w:p>
          <w:p w14:paraId="08FE3E29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3.认知与实践相结合，知行合一，做中学、做中悟，培养学生实践探究的能力；</w:t>
            </w:r>
          </w:p>
          <w:p w14:paraId="1E28FDBF">
            <w:pPr>
              <w:pStyle w:val="15"/>
              <w:widowControl w:val="0"/>
              <w:jc w:val="left"/>
            </w:pPr>
          </w:p>
          <w:p w14:paraId="05E89EF2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4.实践中渗透人文关怀、爱伤观念，培养德才兼备的工匠精神；</w:t>
            </w:r>
          </w:p>
          <w:p w14:paraId="6464D9A4">
            <w:pPr>
              <w:pStyle w:val="15"/>
              <w:widowControl w:val="0"/>
              <w:jc w:val="left"/>
            </w:pPr>
          </w:p>
          <w:p w14:paraId="2CF9994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5.课后带领学生走进社区、社会服务，培养学生的社会责任感。</w:t>
            </w:r>
          </w:p>
          <w:p w14:paraId="6054BABF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2243413E">
            <w:pPr>
              <w:pStyle w:val="15"/>
              <w:widowControl w:val="0"/>
              <w:jc w:val="left"/>
              <w:rPr>
                <w:rFonts w:hint="eastAsia" w:cs="仿宋"/>
                <w:bCs/>
              </w:rPr>
            </w:pPr>
          </w:p>
        </w:tc>
      </w:tr>
      <w:bookmarkEnd w:id="2"/>
      <w:bookmarkEnd w:id="3"/>
    </w:tbl>
    <w:p w14:paraId="5E00B699">
      <w:pPr>
        <w:pStyle w:val="17"/>
        <w:numPr>
          <w:ilvl w:val="0"/>
          <w:numId w:val="3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54C587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76F7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332DB61C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30970AC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8779CA0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BBC1B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4B4A2FF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5FE07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ACB009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77BFDE8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54DB4F43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05357D98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5F093E9C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</w:tcPr>
          <w:p w14:paraId="78CA0AC9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</w:tcPr>
          <w:p w14:paraId="606C0D80">
            <w:pPr>
              <w:pStyle w:val="17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FCCE3C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9E96AF8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AABE289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1DEA8A7C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76D56BB">
            <w:pPr>
              <w:pStyle w:val="15"/>
              <w:widowControl w:val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F1CC271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F83960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51" w:type="dxa"/>
            <w:vAlign w:val="center"/>
          </w:tcPr>
          <w:p w14:paraId="480341B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5B8BA45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0ACFACFE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138D74A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1803C2C0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5E538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3A0B1E6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D7AEC7D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70C2965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52BCD1F4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2BB0FA31"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602" w:type="dxa"/>
            <w:vAlign w:val="center"/>
          </w:tcPr>
          <w:p w14:paraId="13A7B1A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1ADF57E5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A34D3B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6CE1D3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D3FA0A7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709" w:type="dxa"/>
            <w:vAlign w:val="center"/>
          </w:tcPr>
          <w:p w14:paraId="1FD7FE3F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AE4B3C6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6FF0D6E7">
            <w:pPr>
              <w:pStyle w:val="15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807" w:type="dxa"/>
            <w:vAlign w:val="center"/>
          </w:tcPr>
          <w:p w14:paraId="544351F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04BA1AD8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602" w:type="dxa"/>
            <w:vAlign w:val="center"/>
          </w:tcPr>
          <w:p w14:paraId="267C0EE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601" w:type="dxa"/>
            <w:vAlign w:val="center"/>
          </w:tcPr>
          <w:p w14:paraId="153C7B8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2D2513F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604955D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7FF2E5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3F5F251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3EC6C6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69F34FB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807" w:type="dxa"/>
            <w:vAlign w:val="center"/>
          </w:tcPr>
          <w:p w14:paraId="1AA0AA09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751" w:type="dxa"/>
            <w:vAlign w:val="center"/>
          </w:tcPr>
          <w:p w14:paraId="316C5445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2" w:type="dxa"/>
            <w:vAlign w:val="center"/>
          </w:tcPr>
          <w:p w14:paraId="712E11DD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601" w:type="dxa"/>
            <w:vAlign w:val="center"/>
          </w:tcPr>
          <w:p w14:paraId="60F03E4A">
            <w:pPr>
              <w:pStyle w:val="15"/>
              <w:widowControl w:val="0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AA3DCCC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033BC7C">
      <w:pPr>
        <w:pStyle w:val="17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p w14:paraId="2A7B2B9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4A70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0AE152F"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暂无</w:t>
            </w:r>
          </w:p>
          <w:p w14:paraId="2643F4B4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452C38C7"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4E11B">
    <w:pPr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49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93EC9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i3Tv1gAAAAkBAAAPAAAAAAAAAAEAIAAAACIAAABkcnMvZG93bnJldi54bWxQSwECFAAU&#10;AAAACACHTuJA81QayvMBAADXAwAADgAAAAAAAAABACAAAAAlAQAAZHJzL2Uyb0RvYy54bWxQSwUG&#10;AAAAAAYABgBZAQAAi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4793EC9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C07F24"/>
    <w:rsid w:val="1E6F7DB3"/>
    <w:rsid w:val="3B150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1320</Words>
  <Characters>1417</Characters>
  <Paragraphs>402</Paragraphs>
  <TotalTime>0</TotalTime>
  <ScaleCrop>false</ScaleCrop>
  <LinksUpToDate>false</LinksUpToDate>
  <CharactersWithSpaces>1424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归晚.</cp:lastModifiedBy>
  <cp:lastPrinted>2023-09-17T07:48:00Z</cp:lastPrinted>
  <dcterms:modified xsi:type="dcterms:W3CDTF">2025-03-20T07:36:03Z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5fdb7f881d1a41eea847830a5a46095d_23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