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10E8FB">
      <w:pPr>
        <w:snapToGrid w:val="0"/>
        <w:jc w:val="center"/>
        <w:rPr>
          <w:sz w:val="6"/>
          <w:szCs w:val="6"/>
        </w:rPr>
      </w:pPr>
    </w:p>
    <w:p w14:paraId="04C6C519">
      <w:pPr>
        <w:snapToGrid w:val="0"/>
        <w:jc w:val="center"/>
        <w:rPr>
          <w:sz w:val="6"/>
          <w:szCs w:val="6"/>
        </w:rPr>
      </w:pPr>
    </w:p>
    <w:p w14:paraId="5883F060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A977B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0212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6307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15D17D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健康管理政策与法规</w:t>
            </w:r>
          </w:p>
        </w:tc>
      </w:tr>
      <w:tr w14:paraId="3BE5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1F5C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2669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70025</w:t>
            </w:r>
          </w:p>
        </w:tc>
        <w:tc>
          <w:tcPr>
            <w:tcW w:w="1314" w:type="dxa"/>
            <w:vAlign w:val="center"/>
          </w:tcPr>
          <w:p w14:paraId="78B0C3D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05555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0560</w:t>
            </w:r>
          </w:p>
        </w:tc>
        <w:tc>
          <w:tcPr>
            <w:tcW w:w="1753" w:type="dxa"/>
            <w:vAlign w:val="center"/>
          </w:tcPr>
          <w:p w14:paraId="54BA7C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14269E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2A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9F0FD1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D2B69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朱莹莹</w:t>
            </w:r>
          </w:p>
        </w:tc>
        <w:tc>
          <w:tcPr>
            <w:tcW w:w="1314" w:type="dxa"/>
            <w:vAlign w:val="center"/>
          </w:tcPr>
          <w:p w14:paraId="7567FD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17A51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24343</w:t>
            </w:r>
          </w:p>
        </w:tc>
        <w:tc>
          <w:tcPr>
            <w:tcW w:w="1753" w:type="dxa"/>
            <w:vAlign w:val="center"/>
          </w:tcPr>
          <w:p w14:paraId="3CA2C0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AC2EA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4DB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1F37F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7B247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健康服务B24-1/B24-2</w:t>
            </w:r>
          </w:p>
        </w:tc>
        <w:tc>
          <w:tcPr>
            <w:tcW w:w="1314" w:type="dxa"/>
            <w:vAlign w:val="center"/>
          </w:tcPr>
          <w:p w14:paraId="4D6E25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59195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753" w:type="dxa"/>
            <w:vAlign w:val="center"/>
          </w:tcPr>
          <w:p w14:paraId="0D14FD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5D21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12#301</w:t>
            </w:r>
          </w:p>
        </w:tc>
      </w:tr>
      <w:tr w14:paraId="7305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2DA39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0EB03FF">
            <w:pPr>
              <w:rPr>
                <w:rFonts w:hint="eastAsia" w:ascii="宋体" w:hAnsi="宋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周三周五10:05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11:35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021-58137791</w:t>
            </w:r>
          </w:p>
        </w:tc>
      </w:tr>
      <w:tr w14:paraId="3231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32CBB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0D7F5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上海建桥学院云教学平台</w:t>
            </w:r>
          </w:p>
          <w:p w14:paraId="62BE1B7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fldChar w:fldCharType="begin"/>
            </w:r>
            <w:r>
              <w:instrText xml:space="preserve"> HYPERLINK "https://jk.mosoteach.cn/#/admin/course-edit?courseName=%E5%81%A5%E5%BA%B7%E7%AE%A1%E7%90%86%E6%94%BF%E7%AD%96%E4%B8%8E%E6%B3%95%E8%A7%84" </w:instrText>
            </w:r>
            <w:r>
              <w:fldChar w:fldCharType="separate"/>
            </w:r>
            <w:r>
              <w:rPr>
                <w:rStyle w:val="8"/>
              </w:rPr>
              <w:t>https://jk.mosoteach.cn/#/admin/course-edit?courseName=%E5%81%A5%E5%BA%B7%E7%AE%A1%E7%90%86%E6%94%BF%E7%AD%96%E4%B8%8E%E6%B3%95%E8%A7%84</w:t>
            </w:r>
            <w:r>
              <w:rPr>
                <w:rStyle w:val="8"/>
              </w:rPr>
              <w:fldChar w:fldCharType="end"/>
            </w:r>
            <w:r>
              <w:rPr>
                <w:rFonts w:hint="eastAsia" w:eastAsiaTheme="minorEastAsia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ED3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8CB3E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DE223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《健康产业政策与法规》，陈瑶，9787564389130，西南交通大学出版社, 2022年10月第1版</w:t>
            </w:r>
          </w:p>
        </w:tc>
      </w:tr>
      <w:tr w14:paraId="2C4A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2876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4C5AF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《“健康中国2030”战略规划纲要》、《健康中国行动(2019-2030)》等</w:t>
            </w:r>
          </w:p>
        </w:tc>
      </w:tr>
    </w:tbl>
    <w:p w14:paraId="4EF7E10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184"/>
        <w:gridCol w:w="2331"/>
        <w:gridCol w:w="1008"/>
      </w:tblGrid>
      <w:tr w14:paraId="7E2F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7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58FB8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6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357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63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5C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3AD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8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 w14:paraId="13BB0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8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第一单元 健康产业政策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53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讲授、视频案例/头脑风暴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B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D579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14:paraId="7C01D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20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第二单元 健康中国战略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1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讲授/小组讨论、案例分析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F3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8AD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B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22220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第三单元 健康中国行动政策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9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讲授/小组讨论、案例分析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E2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EC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34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14:paraId="5C7D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0E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第四单元 基本医疗卫生与健康促进法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08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讲授/角色扮演、作品展示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A0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4FB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50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14:paraId="3578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94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第五单元 医疗机构管理法律制度</w:t>
            </w:r>
          </w:p>
          <w:p w14:paraId="75307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第六单元 </w:t>
            </w:r>
            <w:r>
              <w:rPr>
                <w:rFonts w:hint="eastAsia"/>
                <w:sz w:val="21"/>
                <w:szCs w:val="21"/>
              </w:rPr>
              <w:t>医疗技术人员管理政策及法律制度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2F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讲授/角色扮演、作品展示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06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06DE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77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14:paraId="14E4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BD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第七单元 </w:t>
            </w:r>
            <w:r>
              <w:rPr>
                <w:rFonts w:hint="eastAsia"/>
                <w:sz w:val="21"/>
                <w:szCs w:val="21"/>
              </w:rPr>
              <w:t>医疗纠纷管理政策及法律制度</w:t>
            </w:r>
          </w:p>
          <w:p w14:paraId="23582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第八单元 食品安全管理政策与法律制度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BE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翻转课堂、点评总结/案例分析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146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F9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 w14:paraId="756B7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5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 xml:space="preserve">实训 </w:t>
            </w:r>
            <w:r>
              <w:rPr>
                <w:rFonts w:hint="eastAsia"/>
                <w:sz w:val="20"/>
                <w:szCs w:val="20"/>
              </w:rPr>
              <w:t>食品安全管理政策与法律制度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9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实训报告讨论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82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17D43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1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14:paraId="599D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09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第九单元 传染病防治管理政策与法律制度</w:t>
            </w:r>
          </w:p>
          <w:p w14:paraId="0377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第十单元 突发公共卫生事件管理政策与法律制度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6E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翻转课堂、点评/案例分析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5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649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7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  <w:vAlign w:val="center"/>
          </w:tcPr>
          <w:p w14:paraId="4BBC1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5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实训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突发公共卫生事件管理政策与法律制度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C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案例分享、讲授总结/预测需求量、供给量练习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23B9A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40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41" w:type="dxa"/>
            <w:vAlign w:val="center"/>
          </w:tcPr>
          <w:p w14:paraId="4805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DF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第十一单元 </w:t>
            </w:r>
            <w:r>
              <w:rPr>
                <w:rFonts w:hint="eastAsia"/>
                <w:sz w:val="21"/>
                <w:szCs w:val="21"/>
                <w:lang w:val="zh-CN"/>
              </w:rPr>
              <w:t>药品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  <w:lang w:val="zh-CN"/>
              </w:rPr>
              <w:t>政策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  <w:lang w:val="zh-CN"/>
              </w:rPr>
              <w:t>法律</w:t>
            </w:r>
            <w:r>
              <w:rPr>
                <w:rFonts w:hint="eastAsia"/>
                <w:sz w:val="21"/>
                <w:szCs w:val="21"/>
              </w:rPr>
              <w:t>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16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讲授、视频案例/头脑风暴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7E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205C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31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41" w:type="dxa"/>
            <w:vAlign w:val="center"/>
          </w:tcPr>
          <w:p w14:paraId="543C6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73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第十二单元 疫苗管理政策与法律制度</w:t>
            </w:r>
          </w:p>
          <w:p w14:paraId="2BCF6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CA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讲授/案例分析、小组讨论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2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73A1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B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41" w:type="dxa"/>
            <w:vAlign w:val="center"/>
          </w:tcPr>
          <w:p w14:paraId="035D7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D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 xml:space="preserve">实训 </w:t>
            </w:r>
            <w:r>
              <w:rPr>
                <w:rFonts w:hint="eastAsia"/>
                <w:sz w:val="20"/>
                <w:szCs w:val="20"/>
              </w:rPr>
              <w:t>疫苗管理政策与法律制度</w:t>
            </w:r>
          </w:p>
          <w:p w14:paraId="3363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第十三单元 医疗器械、保健品、化妆品等产业政策与法律制度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82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讲授/案例分析 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EA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44E26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9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41" w:type="dxa"/>
            <w:vAlign w:val="center"/>
          </w:tcPr>
          <w:p w14:paraId="60E06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69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第十四单元 健康养老产业政策与法律制度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A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案例分享、讲授/列思维导图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DC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40C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C0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41" w:type="dxa"/>
            <w:vAlign w:val="center"/>
          </w:tcPr>
          <w:p w14:paraId="557D8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0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第十五单元 中医药产业政策与法律制度</w:t>
            </w:r>
          </w:p>
          <w:p w14:paraId="4BB7E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第十六单元 健康产业税收政策与法律制度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D8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讲授、翻转课堂/案例分析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AC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4BFC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3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41" w:type="dxa"/>
            <w:vAlign w:val="center"/>
          </w:tcPr>
          <w:p w14:paraId="4977D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60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第十七单元 精神卫生健康产业政策与法律制度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 xml:space="preserve"> +实训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A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案例分享、讲授/列思维导图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3F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63263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0A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41" w:type="dxa"/>
            <w:vAlign w:val="center"/>
          </w:tcPr>
          <w:p w14:paraId="6FB7E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48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实训</w:t>
            </w:r>
            <w:r>
              <w:rPr>
                <w:rFonts w:hint="eastAsia"/>
                <w:sz w:val="20"/>
                <w:szCs w:val="20"/>
              </w:rPr>
              <w:t xml:space="preserve"> 精神卫生健康产业政策与法律制度</w:t>
            </w:r>
          </w:p>
          <w:p w14:paraId="7E35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随堂测验</w:t>
            </w:r>
          </w:p>
        </w:tc>
        <w:tc>
          <w:tcPr>
            <w:tcW w:w="23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1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讲授、翻转课堂/案例分析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、随堂测验</w:t>
            </w:r>
          </w:p>
        </w:tc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5D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X1</w:t>
            </w:r>
          </w:p>
        </w:tc>
      </w:tr>
    </w:tbl>
    <w:p w14:paraId="3850A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beforeLines="100" w:after="180" w:afterLines="50" w:line="220" w:lineRule="exact"/>
        <w:jc w:val="both"/>
        <w:textAlignment w:val="auto"/>
        <w:rPr>
          <w:rFonts w:hint="eastAsia" w:ascii="黑体" w:hAnsi="黑体" w:eastAsia="黑体"/>
          <w:bCs/>
          <w:color w:val="000000"/>
          <w:lang w:eastAsia="zh-CN"/>
        </w:rPr>
      </w:pPr>
    </w:p>
    <w:p w14:paraId="0A7A17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beforeLines="100" w:after="180" w:afterLines="50" w:line="220" w:lineRule="exact"/>
        <w:jc w:val="both"/>
        <w:textAlignment w:val="auto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128E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8F69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16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E9A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726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714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00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57E3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期末随堂测试</w:t>
            </w:r>
          </w:p>
        </w:tc>
      </w:tr>
      <w:tr w14:paraId="18D65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C0E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FD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61C9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表现</w:t>
            </w:r>
          </w:p>
        </w:tc>
      </w:tr>
      <w:tr w14:paraId="1A4B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CF1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B5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479A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</w:tc>
      </w:tr>
    </w:tbl>
    <w:p w14:paraId="6CA6D31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6FD097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460506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4DC17C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365125</wp:posOffset>
            </wp:positionV>
            <wp:extent cx="450215" cy="285750"/>
            <wp:effectExtent l="0" t="0" r="6985" b="635"/>
            <wp:wrapNone/>
            <wp:docPr id="85395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54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2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0" distR="0">
            <wp:extent cx="871220" cy="396240"/>
            <wp:effectExtent l="0" t="0" r="0" b="0"/>
            <wp:docPr id="1035125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2558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901761" cy="40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5年2月20日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870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9148A9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3C32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973B15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93BC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4E3ED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4E3ED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AD0B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56BA"/>
    <w:rsid w:val="000138B2"/>
    <w:rsid w:val="0002743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578"/>
    <w:rsid w:val="00061DF6"/>
    <w:rsid w:val="00065C53"/>
    <w:rsid w:val="000703C6"/>
    <w:rsid w:val="000708DA"/>
    <w:rsid w:val="00073336"/>
    <w:rsid w:val="00074109"/>
    <w:rsid w:val="00075557"/>
    <w:rsid w:val="000757F8"/>
    <w:rsid w:val="00081FA0"/>
    <w:rsid w:val="00087FB2"/>
    <w:rsid w:val="00094CE3"/>
    <w:rsid w:val="000979A1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F61"/>
    <w:rsid w:val="000F3B7C"/>
    <w:rsid w:val="000F3F3A"/>
    <w:rsid w:val="000F5825"/>
    <w:rsid w:val="000F6F55"/>
    <w:rsid w:val="000F77FE"/>
    <w:rsid w:val="00103793"/>
    <w:rsid w:val="001103D4"/>
    <w:rsid w:val="001121A1"/>
    <w:rsid w:val="001122DE"/>
    <w:rsid w:val="0011669C"/>
    <w:rsid w:val="001212AD"/>
    <w:rsid w:val="0012539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DF4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1E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63C7"/>
    <w:rsid w:val="002174A6"/>
    <w:rsid w:val="0021779C"/>
    <w:rsid w:val="0022097D"/>
    <w:rsid w:val="00220BE0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318F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02AB"/>
    <w:rsid w:val="00323A00"/>
    <w:rsid w:val="00325BFB"/>
    <w:rsid w:val="00326D1F"/>
    <w:rsid w:val="00331EC3"/>
    <w:rsid w:val="00335967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5A9B"/>
    <w:rsid w:val="003A11F8"/>
    <w:rsid w:val="003A440D"/>
    <w:rsid w:val="003B1E31"/>
    <w:rsid w:val="003B6082"/>
    <w:rsid w:val="003B78CD"/>
    <w:rsid w:val="003B7925"/>
    <w:rsid w:val="003B79A5"/>
    <w:rsid w:val="003B7E66"/>
    <w:rsid w:val="003C270F"/>
    <w:rsid w:val="003C2AFE"/>
    <w:rsid w:val="003C541F"/>
    <w:rsid w:val="003D016C"/>
    <w:rsid w:val="003D1744"/>
    <w:rsid w:val="003D2737"/>
    <w:rsid w:val="003D33CF"/>
    <w:rsid w:val="003D762E"/>
    <w:rsid w:val="003E152E"/>
    <w:rsid w:val="003F0A1F"/>
    <w:rsid w:val="003F51DB"/>
    <w:rsid w:val="003F5A06"/>
    <w:rsid w:val="003F6B48"/>
    <w:rsid w:val="0040254E"/>
    <w:rsid w:val="00402CF7"/>
    <w:rsid w:val="00407D47"/>
    <w:rsid w:val="00413AC0"/>
    <w:rsid w:val="00415B53"/>
    <w:rsid w:val="00416E3A"/>
    <w:rsid w:val="00416EE2"/>
    <w:rsid w:val="00421F6F"/>
    <w:rsid w:val="00422249"/>
    <w:rsid w:val="00422B54"/>
    <w:rsid w:val="00423345"/>
    <w:rsid w:val="00426BDA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496E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0939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29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92C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9CC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17B7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3C6"/>
    <w:rsid w:val="00865C6A"/>
    <w:rsid w:val="008665DF"/>
    <w:rsid w:val="00866AEC"/>
    <w:rsid w:val="00866CD5"/>
    <w:rsid w:val="00870199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747B"/>
    <w:rsid w:val="00970588"/>
    <w:rsid w:val="00970668"/>
    <w:rsid w:val="0097100A"/>
    <w:rsid w:val="00973BAA"/>
    <w:rsid w:val="00975747"/>
    <w:rsid w:val="00980781"/>
    <w:rsid w:val="009839A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5E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ADB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FB5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1A"/>
    <w:rsid w:val="00B751A9"/>
    <w:rsid w:val="00B7624C"/>
    <w:rsid w:val="00B767B7"/>
    <w:rsid w:val="00B918F3"/>
    <w:rsid w:val="00BA5396"/>
    <w:rsid w:val="00BB00B3"/>
    <w:rsid w:val="00BB0D3D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B30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622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39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CC4"/>
    <w:rsid w:val="00EC7382"/>
    <w:rsid w:val="00ED01BA"/>
    <w:rsid w:val="00ED092D"/>
    <w:rsid w:val="00ED41B5"/>
    <w:rsid w:val="00ED49EA"/>
    <w:rsid w:val="00ED6D42"/>
    <w:rsid w:val="00EE1656"/>
    <w:rsid w:val="00EE1742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308A"/>
    <w:rsid w:val="00F40F55"/>
    <w:rsid w:val="00F413D7"/>
    <w:rsid w:val="00F418D3"/>
    <w:rsid w:val="00F45EBF"/>
    <w:rsid w:val="00F46AC8"/>
    <w:rsid w:val="00F54438"/>
    <w:rsid w:val="00F55A8A"/>
    <w:rsid w:val="00F562B7"/>
    <w:rsid w:val="00F563AD"/>
    <w:rsid w:val="00F570DA"/>
    <w:rsid w:val="00F61FD6"/>
    <w:rsid w:val="00F6290B"/>
    <w:rsid w:val="00F633F9"/>
    <w:rsid w:val="00F75B0B"/>
    <w:rsid w:val="00F90994"/>
    <w:rsid w:val="00F91469"/>
    <w:rsid w:val="00F938D7"/>
    <w:rsid w:val="00F948E3"/>
    <w:rsid w:val="00F95F7A"/>
    <w:rsid w:val="00F968BE"/>
    <w:rsid w:val="00FA3049"/>
    <w:rsid w:val="00FA57E1"/>
    <w:rsid w:val="00FA6A7E"/>
    <w:rsid w:val="00FB15A4"/>
    <w:rsid w:val="00FB1F55"/>
    <w:rsid w:val="00FB4AE3"/>
    <w:rsid w:val="00FC2625"/>
    <w:rsid w:val="00FC2857"/>
    <w:rsid w:val="00FD1B13"/>
    <w:rsid w:val="00FD313C"/>
    <w:rsid w:val="00FE132B"/>
    <w:rsid w:val="00FE319F"/>
    <w:rsid w:val="00FE6709"/>
    <w:rsid w:val="00FE7F55"/>
    <w:rsid w:val="00FF2D60"/>
    <w:rsid w:val="0250298D"/>
    <w:rsid w:val="0B02141F"/>
    <w:rsid w:val="0DB76A4A"/>
    <w:rsid w:val="199D2E85"/>
    <w:rsid w:val="1B9B294B"/>
    <w:rsid w:val="21173698"/>
    <w:rsid w:val="2E59298A"/>
    <w:rsid w:val="31AA68D9"/>
    <w:rsid w:val="37E50B00"/>
    <w:rsid w:val="46A557D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874</Words>
  <Characters>1116</Characters>
  <Lines>10</Lines>
  <Paragraphs>2</Paragraphs>
  <TotalTime>76</TotalTime>
  <ScaleCrop>false</ScaleCrop>
  <LinksUpToDate>false</LinksUpToDate>
  <CharactersWithSpaces>1162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2025-03-12T15:19:00Z</dcterms:created>
  <dc:creator>*****</dc:creator>
  <cp:lastModifiedBy>归晚.</cp:lastModifiedBy>
  <cp:lastPrinted>2015-03-18T03:45:00Z</cp:lastPrinted>
  <dcterms:modified xsi:type="dcterms:W3CDTF">2025-03-19T06:45:38Z</dcterms:modified>
  <dc:title>上海建桥学院教学进度计划表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33BD956AF9A14D21B05F59C095DFD10B_13</vt:lpwstr>
  </property>
</Properties>
</file>