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3570E">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基础护理学1</w:t>
      </w:r>
      <w:r>
        <w:rPr>
          <w:rFonts w:hint="eastAsia" w:ascii="黑体" w:hAnsi="黑体" w:eastAsia="黑体"/>
          <w:bCs/>
          <w:sz w:val="32"/>
          <w:szCs w:val="32"/>
        </w:rPr>
        <w:t>》本科课程教学大纲</w:t>
      </w:r>
    </w:p>
    <w:p w14:paraId="278FF23D">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951"/>
      </w:tblGrid>
      <w:tr w14:paraId="7921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0B5989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750" w:type="dxa"/>
            <w:gridSpan w:val="6"/>
            <w:tcBorders>
              <w:top w:val="single" w:color="auto" w:sz="12" w:space="0"/>
              <w:right w:val="single" w:color="auto" w:sz="12" w:space="0"/>
            </w:tcBorders>
            <w:vAlign w:val="center"/>
          </w:tcPr>
          <w:p w14:paraId="3063941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基础护理学</w:t>
            </w:r>
          </w:p>
        </w:tc>
      </w:tr>
      <w:tr w14:paraId="0017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7DA5D4E">
            <w:pPr>
              <w:widowControl w:val="0"/>
              <w:jc w:val="center"/>
              <w:rPr>
                <w:rFonts w:ascii="黑体" w:hAnsi="黑体" w:eastAsia="黑体"/>
                <w:color w:val="000000" w:themeColor="text1"/>
                <w:sz w:val="21"/>
                <w:szCs w:val="18"/>
                <w14:textFill>
                  <w14:solidFill>
                    <w14:schemeClr w14:val="tx1"/>
                  </w14:solidFill>
                </w14:textFill>
              </w:rPr>
            </w:pPr>
          </w:p>
        </w:tc>
        <w:tc>
          <w:tcPr>
            <w:tcW w:w="7750" w:type="dxa"/>
            <w:gridSpan w:val="6"/>
            <w:tcBorders>
              <w:right w:val="single" w:color="auto" w:sz="12" w:space="0"/>
            </w:tcBorders>
            <w:vAlign w:val="center"/>
          </w:tcPr>
          <w:p w14:paraId="54BBE65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Basic Nursing 1</w:t>
            </w:r>
          </w:p>
        </w:tc>
      </w:tr>
      <w:tr w14:paraId="7064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C28F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A6E6DD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2070018</w:t>
            </w:r>
          </w:p>
        </w:tc>
        <w:tc>
          <w:tcPr>
            <w:tcW w:w="2126" w:type="dxa"/>
            <w:gridSpan w:val="2"/>
            <w:vAlign w:val="center"/>
          </w:tcPr>
          <w:p w14:paraId="2EBDA4E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3364" w:type="dxa"/>
            <w:gridSpan w:val="3"/>
            <w:tcBorders>
              <w:right w:val="single" w:color="auto" w:sz="12" w:space="0"/>
            </w:tcBorders>
            <w:vAlign w:val="center"/>
          </w:tcPr>
          <w:p w14:paraId="28E1041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14:paraId="2257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EF5FF1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682CAB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64</w:t>
            </w:r>
          </w:p>
        </w:tc>
        <w:tc>
          <w:tcPr>
            <w:tcW w:w="1272" w:type="dxa"/>
            <w:vAlign w:val="center"/>
          </w:tcPr>
          <w:p w14:paraId="2B38C2E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D0EDC6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1D366E9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951" w:type="dxa"/>
            <w:tcBorders>
              <w:right w:val="single" w:color="auto" w:sz="12" w:space="0"/>
            </w:tcBorders>
            <w:vAlign w:val="center"/>
          </w:tcPr>
          <w:p w14:paraId="3B455DB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r>
      <w:tr w14:paraId="2FF1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DDBAE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3DB8287">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5333AF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3364" w:type="dxa"/>
            <w:gridSpan w:val="3"/>
            <w:tcBorders>
              <w:right w:val="single" w:color="auto" w:sz="12" w:space="0"/>
            </w:tcBorders>
            <w:vAlign w:val="center"/>
          </w:tcPr>
          <w:p w14:paraId="70CF359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护理学、二年级</w:t>
            </w:r>
          </w:p>
        </w:tc>
      </w:tr>
      <w:tr w14:paraId="7C6A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738B86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2FD8D4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0678F05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3364" w:type="dxa"/>
            <w:gridSpan w:val="3"/>
            <w:tcBorders>
              <w:right w:val="single" w:color="auto" w:sz="12" w:space="0"/>
            </w:tcBorders>
            <w:vAlign w:val="center"/>
          </w:tcPr>
          <w:p w14:paraId="72959A4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069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16A55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09899D4">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《基础护理学》 </w:t>
            </w:r>
            <w:bookmarkStart w:id="0" w:name="_Hlk110503096"/>
            <w:r>
              <w:rPr>
                <w:rFonts w:hint="eastAsia"/>
                <w:color w:val="000000" w:themeColor="text1"/>
                <w:sz w:val="21"/>
                <w:szCs w:val="21"/>
                <w14:textFill>
                  <w14:solidFill>
                    <w14:schemeClr w14:val="tx1"/>
                  </w14:solidFill>
                </w14:textFill>
              </w:rPr>
              <w:t xml:space="preserve">李小寒， 尚少梅主编，   </w:t>
            </w:r>
            <w:bookmarkEnd w:id="0"/>
            <w:r>
              <w:rPr>
                <w:rFonts w:hint="eastAsia"/>
                <w:color w:val="000000" w:themeColor="text1"/>
                <w:sz w:val="21"/>
                <w:szCs w:val="21"/>
                <w14:textFill>
                  <w14:solidFill>
                    <w14:schemeClr w14:val="tx1"/>
                  </w14:solidFill>
                </w14:textFill>
              </w:rPr>
              <w:t xml:space="preserve"> ISBN9787117333511，人民卫生出版社，第七版</w:t>
            </w:r>
          </w:p>
        </w:tc>
        <w:tc>
          <w:tcPr>
            <w:tcW w:w="1413" w:type="dxa"/>
            <w:gridSpan w:val="2"/>
            <w:vAlign w:val="center"/>
          </w:tcPr>
          <w:p w14:paraId="5860A1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97A69F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951" w:type="dxa"/>
            <w:tcBorders>
              <w:right w:val="single" w:color="auto" w:sz="12" w:space="0"/>
            </w:tcBorders>
            <w:vAlign w:val="center"/>
          </w:tcPr>
          <w:p w14:paraId="04DF23AF">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r>
      <w:tr w14:paraId="7FD6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7014C2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750" w:type="dxa"/>
            <w:gridSpan w:val="6"/>
            <w:tcBorders>
              <w:right w:val="single" w:color="auto" w:sz="12" w:space="0"/>
            </w:tcBorders>
            <w:vAlign w:val="center"/>
          </w:tcPr>
          <w:p w14:paraId="6BE3A843">
            <w:pPr>
              <w:pStyle w:val="17"/>
              <w:widowControl w:val="0"/>
              <w:jc w:val="both"/>
            </w:pPr>
            <w:r>
              <w:rPr>
                <w:rFonts w:hint="eastAsia"/>
                <w:sz w:val="20"/>
                <w:szCs w:val="20"/>
              </w:rPr>
              <w:t>人体解剖学2</w:t>
            </w:r>
            <w:r>
              <w:rPr>
                <w:sz w:val="20"/>
                <w:szCs w:val="20"/>
              </w:rPr>
              <w:t>070001</w:t>
            </w:r>
            <w:r>
              <w:rPr>
                <w:rFonts w:hint="eastAsia"/>
                <w:sz w:val="20"/>
                <w:szCs w:val="20"/>
              </w:rPr>
              <w:t>（6）、组织胚胎学2</w:t>
            </w:r>
            <w:r>
              <w:rPr>
                <w:sz w:val="20"/>
                <w:szCs w:val="20"/>
              </w:rPr>
              <w:t>070002</w:t>
            </w:r>
            <w:r>
              <w:rPr>
                <w:rFonts w:hint="eastAsia"/>
                <w:sz w:val="20"/>
                <w:szCs w:val="20"/>
              </w:rPr>
              <w:t>（2）、生理学2</w:t>
            </w:r>
            <w:r>
              <w:rPr>
                <w:sz w:val="20"/>
                <w:szCs w:val="20"/>
              </w:rPr>
              <w:t>070003</w:t>
            </w:r>
            <w:r>
              <w:rPr>
                <w:rFonts w:hint="eastAsia"/>
                <w:sz w:val="20"/>
                <w:szCs w:val="20"/>
              </w:rPr>
              <w:t>（4）、病理学与病理生理学2</w:t>
            </w:r>
            <w:r>
              <w:rPr>
                <w:sz w:val="20"/>
                <w:szCs w:val="20"/>
              </w:rPr>
              <w:t>070005</w:t>
            </w:r>
            <w:r>
              <w:rPr>
                <w:rFonts w:hint="eastAsia"/>
                <w:sz w:val="20"/>
                <w:szCs w:val="20"/>
              </w:rPr>
              <w:t>（3）、药理学2</w:t>
            </w:r>
            <w:r>
              <w:rPr>
                <w:sz w:val="20"/>
                <w:szCs w:val="20"/>
              </w:rPr>
              <w:t>070006</w:t>
            </w:r>
            <w:r>
              <w:rPr>
                <w:rFonts w:hint="eastAsia"/>
                <w:sz w:val="20"/>
                <w:szCs w:val="20"/>
              </w:rPr>
              <w:t xml:space="preserve">（3）病原生物与免疫学2170088（2）、护理学导论2070015（1.5） </w:t>
            </w:r>
          </w:p>
        </w:tc>
      </w:tr>
      <w:tr w14:paraId="3511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5C4D157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750" w:type="dxa"/>
            <w:gridSpan w:val="6"/>
            <w:tcBorders>
              <w:right w:val="single" w:color="auto" w:sz="12" w:space="0"/>
            </w:tcBorders>
          </w:tcPr>
          <w:p w14:paraId="6244528C">
            <w:pPr>
              <w:widowControl w:val="0"/>
              <w:spacing w:line="360" w:lineRule="exact"/>
              <w:ind w:left="-80" w:firstLine="426" w:firstLineChars="203"/>
              <w:jc w:val="both"/>
              <w:rPr>
                <w:rFonts w:hint="eastAsia"/>
                <w:color w:val="000000"/>
                <w:sz w:val="21"/>
                <w:szCs w:val="21"/>
              </w:rPr>
            </w:pPr>
            <w:r>
              <w:rPr>
                <w:color w:val="000000"/>
                <w:sz w:val="21"/>
                <w:szCs w:val="21"/>
              </w:rPr>
              <w:t>《基础护理学1》是护理学科的基础，是护理学专业课程体系中最基本、最重要的课程之一， 也是护理学专业学生（以下简称护生）在学校学习期间的必修课程，在护理教育教学中发挥着重要的作用。《基础护理学 1》是护生学习临床专业课（如《内科护理学</w:t>
            </w:r>
            <w:r>
              <w:rPr>
                <w:rFonts w:hint="eastAsia"/>
                <w:color w:val="000000"/>
                <w:sz w:val="21"/>
                <w:szCs w:val="21"/>
              </w:rPr>
              <w:t>》《</w:t>
            </w:r>
            <w:r>
              <w:rPr>
                <w:color w:val="000000"/>
                <w:sz w:val="21"/>
                <w:szCs w:val="21"/>
              </w:rPr>
              <w:t>外科护理学</w:t>
            </w:r>
            <w:r>
              <w:rPr>
                <w:rFonts w:hint="eastAsia"/>
                <w:color w:val="000000"/>
                <w:sz w:val="21"/>
                <w:szCs w:val="21"/>
              </w:rPr>
              <w:t>》《</w:t>
            </w:r>
            <w:r>
              <w:rPr>
                <w:color w:val="000000"/>
                <w:sz w:val="21"/>
                <w:szCs w:val="21"/>
              </w:rPr>
              <w:t>妇产科护理学</w:t>
            </w:r>
            <w:r>
              <w:rPr>
                <w:rFonts w:hint="eastAsia"/>
                <w:color w:val="000000"/>
                <w:sz w:val="21"/>
                <w:szCs w:val="21"/>
              </w:rPr>
              <w:t>》《</w:t>
            </w:r>
            <w:r>
              <w:rPr>
                <w:color w:val="000000"/>
                <w:sz w:val="21"/>
                <w:szCs w:val="21"/>
              </w:rPr>
              <w:t>儿科护理学》等）的必备前期课程，为临床各专科护理提供了必要的基础知识和基本技能。在《基础护理学 1》的课程中，护生将学习从事护理工作所必需的护理基本理论、基本知识和基本技能，其内容包括病人的生活护理、满足病人治疗需要的护理、病人病情变化的观察 技术和健康教育技术等。</w:t>
            </w:r>
            <w:r>
              <w:rPr>
                <w:rFonts w:hint="eastAsia"/>
                <w:color w:val="000000"/>
                <w:sz w:val="21"/>
                <w:szCs w:val="21"/>
              </w:rPr>
              <w:t>本</w:t>
            </w:r>
            <w:r>
              <w:rPr>
                <w:color w:val="000000"/>
                <w:sz w:val="21"/>
                <w:szCs w:val="21"/>
              </w:rPr>
              <w:t>课程的基本任务是以培养护生良好的职业道德和职业情感为核心，使护生树立整体护理的观念，掌握《基础护理学 1》中的基本理论知识和基本操作技能并将所学的知识和技能灵活地运用于临床护理实践中，履行护理人员的角色和功能，实现“促进健康、预防疾病、恢复健康和减轻痛苦”的护理目标</w:t>
            </w:r>
            <w:r>
              <w:rPr>
                <w:rFonts w:hint="eastAsia"/>
                <w:color w:val="000000"/>
                <w:sz w:val="21"/>
                <w:szCs w:val="21"/>
              </w:rPr>
              <w:t>。</w:t>
            </w:r>
          </w:p>
          <w:p w14:paraId="3CE6DA39">
            <w:pPr>
              <w:widowControl w:val="0"/>
              <w:spacing w:line="360" w:lineRule="exact"/>
              <w:ind w:left="-80" w:firstLine="405" w:firstLineChars="203"/>
              <w:jc w:val="both"/>
              <w:rPr>
                <w:color w:val="000000"/>
                <w:sz w:val="20"/>
                <w:szCs w:val="20"/>
              </w:rPr>
            </w:pPr>
          </w:p>
        </w:tc>
      </w:tr>
      <w:tr w14:paraId="0DED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1" w:hRule="atLeast"/>
        </w:trPr>
        <w:tc>
          <w:tcPr>
            <w:tcW w:w="1691" w:type="dxa"/>
            <w:tcBorders>
              <w:left w:val="single" w:color="auto" w:sz="12" w:space="0"/>
              <w:bottom w:val="double" w:color="auto" w:sz="4" w:space="0"/>
            </w:tcBorders>
            <w:shd w:val="clear" w:color="auto" w:fill="auto"/>
            <w:vAlign w:val="center"/>
          </w:tcPr>
          <w:p w14:paraId="681538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750" w:type="dxa"/>
            <w:gridSpan w:val="6"/>
            <w:tcBorders>
              <w:bottom w:val="double" w:color="auto" w:sz="4" w:space="0"/>
              <w:right w:val="single" w:color="auto" w:sz="12" w:space="0"/>
            </w:tcBorders>
          </w:tcPr>
          <w:p w14:paraId="22845FD5">
            <w:pPr>
              <w:widowControl w:val="0"/>
              <w:snapToGrid w:val="0"/>
              <w:spacing w:line="288" w:lineRule="auto"/>
              <w:ind w:firstLine="400" w:firstLineChars="200"/>
              <w:jc w:val="both"/>
              <w:rPr>
                <w:color w:val="000000"/>
                <w:sz w:val="20"/>
                <w:szCs w:val="20"/>
              </w:rPr>
            </w:pPr>
            <w:r>
              <w:rPr>
                <w:color w:val="000000"/>
                <w:sz w:val="20"/>
                <w:szCs w:val="20"/>
              </w:rPr>
              <w:t>该课程适合于护理学本科专业</w:t>
            </w:r>
            <w:r>
              <w:rPr>
                <w:rFonts w:hint="eastAsia"/>
                <w:color w:val="000000"/>
                <w:sz w:val="20"/>
                <w:szCs w:val="20"/>
              </w:rPr>
              <w:t>，</w:t>
            </w:r>
            <w:r>
              <w:rPr>
                <w:color w:val="000000"/>
                <w:sz w:val="20"/>
                <w:szCs w:val="20"/>
              </w:rPr>
              <w:t>二年级下学期开设、学生需要对</w:t>
            </w:r>
            <w:r>
              <w:rPr>
                <w:rFonts w:hint="eastAsia"/>
                <w:color w:val="000000"/>
                <w:sz w:val="20"/>
                <w:szCs w:val="20"/>
              </w:rPr>
              <w:t>护理</w:t>
            </w:r>
            <w:r>
              <w:rPr>
                <w:color w:val="000000"/>
                <w:sz w:val="20"/>
                <w:szCs w:val="20"/>
              </w:rPr>
              <w:t>专业有一定的认识，并初具有</w:t>
            </w:r>
            <w:r>
              <w:rPr>
                <w:rFonts w:hint="eastAsia"/>
                <w:color w:val="000000"/>
                <w:sz w:val="20"/>
                <w:szCs w:val="20"/>
              </w:rPr>
              <w:t>医学基础知识。</w:t>
            </w:r>
          </w:p>
        </w:tc>
      </w:tr>
      <w:tr w14:paraId="0959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8376F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ABE388">
            <w:pPr>
              <w:widowControl w:val="0"/>
              <w:jc w:val="left"/>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drawing>
                <wp:inline distT="0" distB="0" distL="114300" distR="114300">
                  <wp:extent cx="341630" cy="292735"/>
                  <wp:effectExtent l="0" t="0" r="1270" b="12065"/>
                  <wp:docPr id="2" name="图片 2" descr="003f86e39f538ea4e16bc904e89d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f86e39f538ea4e16bc904e89d1a3"/>
                          <pic:cNvPicPr>
                            <a:picLocks noChangeAspect="1"/>
                          </pic:cNvPicPr>
                        </pic:nvPicPr>
                        <pic:blipFill>
                          <a:blip r:embed="rId5"/>
                          <a:stretch>
                            <a:fillRect/>
                          </a:stretch>
                        </pic:blipFill>
                        <pic:spPr>
                          <a:xfrm>
                            <a:off x="0" y="0"/>
                            <a:ext cx="341630" cy="292735"/>
                          </a:xfrm>
                          <a:prstGeom prst="rect">
                            <a:avLst/>
                          </a:prstGeom>
                        </pic:spPr>
                      </pic:pic>
                    </a:graphicData>
                  </a:graphic>
                </wp:inline>
              </w:drawing>
            </w: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drawing>
                <wp:inline distT="0" distB="0" distL="114300" distR="114300">
                  <wp:extent cx="394970" cy="218440"/>
                  <wp:effectExtent l="0" t="0" r="5080" b="10160"/>
                  <wp:docPr id="4" name="图片 4" descr="0ec2b3387e8d9118a50c2bafb35d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c2b3387e8d9118a50c2bafb35d383"/>
                          <pic:cNvPicPr>
                            <a:picLocks noChangeAspect="1"/>
                          </pic:cNvPicPr>
                        </pic:nvPicPr>
                        <pic:blipFill>
                          <a:blip r:embed="rId6"/>
                          <a:stretch>
                            <a:fillRect/>
                          </a:stretch>
                        </pic:blipFill>
                        <pic:spPr>
                          <a:xfrm>
                            <a:off x="0" y="0"/>
                            <a:ext cx="394970" cy="218440"/>
                          </a:xfrm>
                          <a:prstGeom prst="rect">
                            <a:avLst/>
                          </a:prstGeom>
                        </pic:spPr>
                      </pic:pic>
                    </a:graphicData>
                  </a:graphic>
                </wp:inline>
              </w:drawing>
            </w:r>
          </w:p>
        </w:tc>
        <w:tc>
          <w:tcPr>
            <w:tcW w:w="1425" w:type="dxa"/>
            <w:gridSpan w:val="2"/>
            <w:tcBorders>
              <w:top w:val="double" w:color="auto" w:sz="4" w:space="0"/>
            </w:tcBorders>
            <w:vAlign w:val="center"/>
          </w:tcPr>
          <w:p w14:paraId="2C2A962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793" w:type="dxa"/>
            <w:gridSpan w:val="2"/>
            <w:tcBorders>
              <w:top w:val="double" w:color="auto" w:sz="4" w:space="0"/>
              <w:right w:val="single" w:color="auto" w:sz="12" w:space="0"/>
            </w:tcBorders>
            <w:vAlign w:val="center"/>
          </w:tcPr>
          <w:p w14:paraId="1C7618D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025</w:t>
            </w: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lang w:val="en-US" w:eastAsia="zh-CN"/>
              </w:rPr>
              <w:t>.25</w:t>
            </w:r>
          </w:p>
        </w:tc>
      </w:tr>
      <w:tr w14:paraId="3F34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D4CEF1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D95DC50">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drawing>
                <wp:inline distT="0" distB="0" distL="114300" distR="114300">
                  <wp:extent cx="394970" cy="218440"/>
                  <wp:effectExtent l="0" t="0" r="5080" b="10160"/>
                  <wp:docPr id="1" name="图片 1" descr="0ec2b3387e8d9118a50c2bafb35d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c2b3387e8d9118a50c2bafb35d383"/>
                          <pic:cNvPicPr>
                            <a:picLocks noChangeAspect="1"/>
                          </pic:cNvPicPr>
                        </pic:nvPicPr>
                        <pic:blipFill>
                          <a:blip r:embed="rId6"/>
                          <a:stretch>
                            <a:fillRect/>
                          </a:stretch>
                        </pic:blipFill>
                        <pic:spPr>
                          <a:xfrm>
                            <a:off x="0" y="0"/>
                            <a:ext cx="394970" cy="218440"/>
                          </a:xfrm>
                          <a:prstGeom prst="rect">
                            <a:avLst/>
                          </a:prstGeom>
                        </pic:spPr>
                      </pic:pic>
                    </a:graphicData>
                  </a:graphic>
                </wp:inline>
              </w:drawing>
            </w:r>
          </w:p>
        </w:tc>
        <w:tc>
          <w:tcPr>
            <w:tcW w:w="1425" w:type="dxa"/>
            <w:gridSpan w:val="2"/>
            <w:vAlign w:val="center"/>
          </w:tcPr>
          <w:p w14:paraId="6F22821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793" w:type="dxa"/>
            <w:gridSpan w:val="2"/>
            <w:tcBorders>
              <w:right w:val="single" w:color="auto" w:sz="12" w:space="0"/>
            </w:tcBorders>
            <w:vAlign w:val="center"/>
          </w:tcPr>
          <w:p w14:paraId="67C91D3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.27</w:t>
            </w:r>
          </w:p>
        </w:tc>
      </w:tr>
      <w:tr w14:paraId="155D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BC701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t>.</w:t>
            </w:r>
            <w:r>
              <w:rPr>
                <w:rFonts w:hint="eastAsia" w:ascii="黑体" w:hAnsi="黑体" w:eastAsia="黑体"/>
                <w:color w:val="000000" w:themeColor="text1"/>
                <w:sz w:val="21"/>
                <w:szCs w:val="21"/>
                <w:lang w:val="en-US" w:eastAsia="zh-CN"/>
                <w14:textFill>
                  <w14:solidFill>
                    <w14:schemeClr w14:val="tx1"/>
                  </w14:solidFill>
                </w14:textFill>
              </w:rPr>
              <w:t>27</w:t>
            </w: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95A6014">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E8DA17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793" w:type="dxa"/>
            <w:gridSpan w:val="2"/>
            <w:tcBorders>
              <w:bottom w:val="single" w:color="auto" w:sz="12" w:space="0"/>
              <w:right w:val="single" w:color="auto" w:sz="12" w:space="0"/>
            </w:tcBorders>
            <w:vAlign w:val="center"/>
          </w:tcPr>
          <w:p w14:paraId="680930C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p>
        </w:tc>
      </w:tr>
    </w:tbl>
    <w:p w14:paraId="5F1D12F2">
      <w:pPr>
        <w:spacing w:line="100" w:lineRule="exact"/>
        <w:rPr>
          <w:rFonts w:ascii="Arial" w:hAnsi="Arial" w:eastAsia="黑体"/>
        </w:rPr>
      </w:pPr>
      <w:r>
        <w:br w:type="page"/>
      </w:r>
      <w:bookmarkStart w:id="15" w:name="_GoBack"/>
      <w:bookmarkEnd w:id="15"/>
    </w:p>
    <w:p w14:paraId="2346EDB6">
      <w:pPr>
        <w:pStyle w:val="19"/>
        <w:spacing w:before="326" w:beforeLines="100" w:line="360" w:lineRule="auto"/>
        <w:rPr>
          <w:rFonts w:ascii="黑体" w:hAnsi="宋体"/>
        </w:rPr>
      </w:pPr>
      <w:r>
        <w:rPr>
          <w:rFonts w:hint="eastAsia" w:ascii="黑体" w:hAnsi="宋体"/>
        </w:rPr>
        <w:t>二、课程目标与毕业要求</w:t>
      </w:r>
    </w:p>
    <w:p w14:paraId="2401A244">
      <w:pPr>
        <w:pStyle w:val="20"/>
        <w:spacing w:before="81" w:after="163"/>
      </w:pPr>
      <w:r>
        <w:rPr>
          <w:rFonts w:hint="eastAsia"/>
        </w:rPr>
        <w:t xml:space="preserve">（一）课程目标 </w:t>
      </w:r>
    </w:p>
    <w:tbl>
      <w:tblPr>
        <w:tblStyle w:val="9"/>
        <w:tblW w:w="477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550"/>
        <w:gridCol w:w="982"/>
        <w:gridCol w:w="7619"/>
      </w:tblGrid>
      <w:tr w14:paraId="01DF5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550" w:type="dxa"/>
            <w:vAlign w:val="center"/>
          </w:tcPr>
          <w:p w14:paraId="6509DBB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982" w:type="dxa"/>
            <w:shd w:val="clear" w:color="auto" w:fill="auto"/>
            <w:vAlign w:val="center"/>
          </w:tcPr>
          <w:p w14:paraId="057DDC7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7618" w:type="dxa"/>
            <w:vAlign w:val="center"/>
          </w:tcPr>
          <w:p w14:paraId="62A3DC2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7D3E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50" w:type="dxa"/>
            <w:vMerge w:val="restart"/>
            <w:vAlign w:val="center"/>
          </w:tcPr>
          <w:p w14:paraId="6E921A3F">
            <w:pPr>
              <w:snapToGrid w:val="0"/>
              <w:jc w:val="center"/>
            </w:pPr>
            <w:r>
              <w:rPr>
                <w:rFonts w:hint="eastAsia" w:ascii="黑体" w:hAnsi="黑体" w:eastAsia="黑体"/>
                <w:bCs/>
                <w:color w:val="000000"/>
                <w:sz w:val="21"/>
                <w:szCs w:val="18"/>
              </w:rPr>
              <w:t>知识目标</w:t>
            </w:r>
          </w:p>
        </w:tc>
        <w:tc>
          <w:tcPr>
            <w:tcW w:w="982" w:type="dxa"/>
            <w:shd w:val="clear" w:color="auto" w:fill="auto"/>
            <w:vAlign w:val="center"/>
          </w:tcPr>
          <w:p w14:paraId="058E5691">
            <w:pPr>
              <w:snapToGrid w:val="0"/>
              <w:jc w:val="center"/>
              <w:rPr>
                <w:bCs/>
                <w:color w:val="000000"/>
                <w:sz w:val="21"/>
                <w:szCs w:val="21"/>
              </w:rPr>
            </w:pPr>
            <w:r>
              <w:rPr>
                <w:rFonts w:hint="eastAsia"/>
                <w:bCs/>
                <w:color w:val="000000"/>
                <w:sz w:val="21"/>
                <w:szCs w:val="21"/>
              </w:rPr>
              <w:t>1</w:t>
            </w:r>
          </w:p>
        </w:tc>
        <w:tc>
          <w:tcPr>
            <w:tcW w:w="7618" w:type="dxa"/>
            <w:vAlign w:val="center"/>
          </w:tcPr>
          <w:p w14:paraId="14B63342">
            <w:pPr>
              <w:pStyle w:val="17"/>
              <w:jc w:val="left"/>
              <w:rPr>
                <w:rFonts w:ascii="宋体" w:hAnsi="宋体"/>
                <w:bCs/>
              </w:rPr>
            </w:pPr>
            <w:r>
              <w:rPr>
                <w:rFonts w:hint="eastAsia" w:ascii="宋体" w:hAnsi="宋体"/>
              </w:rPr>
              <w:t>知道与护理学相关的自然科学、人文社会科学的基础知识。</w:t>
            </w:r>
          </w:p>
        </w:tc>
      </w:tr>
      <w:tr w14:paraId="4F5FF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50" w:type="dxa"/>
            <w:vMerge w:val="continue"/>
            <w:vAlign w:val="center"/>
          </w:tcPr>
          <w:p w14:paraId="1969D59C">
            <w:pPr>
              <w:pStyle w:val="17"/>
              <w:rPr>
                <w:bCs/>
              </w:rPr>
            </w:pPr>
          </w:p>
        </w:tc>
        <w:tc>
          <w:tcPr>
            <w:tcW w:w="982" w:type="dxa"/>
            <w:shd w:val="clear" w:color="auto" w:fill="auto"/>
            <w:vAlign w:val="center"/>
          </w:tcPr>
          <w:p w14:paraId="2698E76E">
            <w:pPr>
              <w:snapToGrid w:val="0"/>
              <w:jc w:val="center"/>
              <w:rPr>
                <w:bCs/>
                <w:color w:val="000000"/>
                <w:sz w:val="21"/>
                <w:szCs w:val="21"/>
              </w:rPr>
            </w:pPr>
            <w:r>
              <w:rPr>
                <w:rFonts w:hint="eastAsia"/>
                <w:bCs/>
                <w:color w:val="000000"/>
                <w:sz w:val="21"/>
                <w:szCs w:val="21"/>
              </w:rPr>
              <w:t>2</w:t>
            </w:r>
          </w:p>
        </w:tc>
        <w:tc>
          <w:tcPr>
            <w:tcW w:w="7618" w:type="dxa"/>
            <w:vAlign w:val="center"/>
          </w:tcPr>
          <w:p w14:paraId="6EAC8A25">
            <w:pPr>
              <w:pStyle w:val="17"/>
              <w:jc w:val="left"/>
              <w:rPr>
                <w:rFonts w:ascii="宋体" w:hAnsi="宋体"/>
                <w:bCs/>
              </w:rPr>
            </w:pPr>
            <w:r>
              <w:rPr>
                <w:rFonts w:hint="eastAsia" w:ascii="宋体" w:hAnsi="宋体"/>
              </w:rPr>
              <w:t>能够阐述护理学专业的基本理论和基本知识。</w:t>
            </w:r>
          </w:p>
        </w:tc>
      </w:tr>
      <w:tr w14:paraId="3AEFE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50" w:type="dxa"/>
            <w:vMerge w:val="restart"/>
            <w:vAlign w:val="center"/>
          </w:tcPr>
          <w:p w14:paraId="6DC77915">
            <w:pPr>
              <w:snapToGrid w:val="0"/>
              <w:jc w:val="center"/>
            </w:pPr>
            <w:r>
              <w:rPr>
                <w:rFonts w:hint="eastAsia" w:ascii="黑体" w:hAnsi="黑体" w:eastAsia="黑体"/>
                <w:bCs/>
                <w:color w:val="000000"/>
                <w:sz w:val="21"/>
                <w:szCs w:val="18"/>
              </w:rPr>
              <w:t>技能目标</w:t>
            </w:r>
          </w:p>
        </w:tc>
        <w:tc>
          <w:tcPr>
            <w:tcW w:w="982" w:type="dxa"/>
            <w:shd w:val="clear" w:color="auto" w:fill="auto"/>
            <w:vAlign w:val="center"/>
          </w:tcPr>
          <w:p w14:paraId="03DBD06F">
            <w:pPr>
              <w:snapToGrid w:val="0"/>
              <w:jc w:val="center"/>
              <w:rPr>
                <w:bCs/>
                <w:color w:val="000000"/>
                <w:sz w:val="21"/>
                <w:szCs w:val="21"/>
              </w:rPr>
            </w:pPr>
            <w:r>
              <w:rPr>
                <w:rFonts w:hint="eastAsia"/>
                <w:bCs/>
                <w:color w:val="000000"/>
                <w:sz w:val="21"/>
                <w:szCs w:val="21"/>
              </w:rPr>
              <w:t>3</w:t>
            </w:r>
          </w:p>
        </w:tc>
        <w:tc>
          <w:tcPr>
            <w:tcW w:w="7618" w:type="dxa"/>
            <w:vAlign w:val="center"/>
          </w:tcPr>
          <w:p w14:paraId="6BB30957">
            <w:pPr>
              <w:pStyle w:val="17"/>
              <w:jc w:val="left"/>
              <w:rPr>
                <w:rFonts w:ascii="宋体" w:hAnsi="宋体"/>
                <w:bCs/>
              </w:rPr>
            </w:pPr>
            <w:r>
              <w:rPr>
                <w:rFonts w:hint="eastAsia" w:ascii="宋体" w:hAnsi="宋体"/>
              </w:rPr>
              <w:t xml:space="preserve">熟练运用基础护理技术、急救护理技术。 </w:t>
            </w:r>
          </w:p>
        </w:tc>
      </w:tr>
      <w:tr w14:paraId="5EE9C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50" w:type="dxa"/>
            <w:vMerge w:val="continue"/>
            <w:vAlign w:val="center"/>
          </w:tcPr>
          <w:p w14:paraId="28075468">
            <w:pPr>
              <w:pStyle w:val="17"/>
              <w:rPr>
                <w:rFonts w:ascii="宋体" w:hAnsi="宋体"/>
              </w:rPr>
            </w:pPr>
          </w:p>
        </w:tc>
        <w:tc>
          <w:tcPr>
            <w:tcW w:w="982" w:type="dxa"/>
            <w:shd w:val="clear" w:color="auto" w:fill="auto"/>
            <w:vAlign w:val="center"/>
          </w:tcPr>
          <w:p w14:paraId="1F845E18">
            <w:pPr>
              <w:snapToGrid w:val="0"/>
              <w:jc w:val="center"/>
              <w:rPr>
                <w:bCs/>
                <w:color w:val="000000"/>
                <w:sz w:val="21"/>
                <w:szCs w:val="21"/>
              </w:rPr>
            </w:pPr>
            <w:r>
              <w:rPr>
                <w:rFonts w:hint="eastAsia"/>
                <w:bCs/>
                <w:color w:val="000000"/>
                <w:sz w:val="21"/>
                <w:szCs w:val="21"/>
              </w:rPr>
              <w:t>4</w:t>
            </w:r>
          </w:p>
        </w:tc>
        <w:tc>
          <w:tcPr>
            <w:tcW w:w="7618" w:type="dxa"/>
            <w:vAlign w:val="center"/>
          </w:tcPr>
          <w:p w14:paraId="2B6C8D28">
            <w:pPr>
              <w:pStyle w:val="17"/>
              <w:jc w:val="left"/>
              <w:rPr>
                <w:rFonts w:ascii="宋体" w:hAnsi="宋体"/>
                <w:bCs/>
              </w:rPr>
            </w:pPr>
            <w:r>
              <w:rPr>
                <w:rFonts w:hint="eastAsia" w:ascii="宋体" w:hAnsi="宋体"/>
              </w:rPr>
              <w:t>具有病情观察和护理能力。</w:t>
            </w:r>
          </w:p>
        </w:tc>
      </w:tr>
      <w:tr w14:paraId="5CC91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50" w:type="dxa"/>
            <w:vAlign w:val="center"/>
          </w:tcPr>
          <w:p w14:paraId="4652360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680D58E">
            <w:pPr>
              <w:snapToGrid w:val="0"/>
              <w:jc w:val="center"/>
            </w:pPr>
            <w:r>
              <w:rPr>
                <w:rFonts w:hint="eastAsia" w:ascii="黑体" w:hAnsi="黑体" w:eastAsia="黑体"/>
                <w:bCs/>
                <w:color w:val="000000"/>
                <w:sz w:val="21"/>
                <w:szCs w:val="18"/>
              </w:rPr>
              <w:t>(含课程思政目标）</w:t>
            </w:r>
          </w:p>
        </w:tc>
        <w:tc>
          <w:tcPr>
            <w:tcW w:w="982" w:type="dxa"/>
            <w:shd w:val="clear" w:color="auto" w:fill="auto"/>
            <w:vAlign w:val="center"/>
          </w:tcPr>
          <w:p w14:paraId="190C5B72">
            <w:pPr>
              <w:snapToGrid w:val="0"/>
              <w:jc w:val="center"/>
              <w:rPr>
                <w:bCs/>
                <w:color w:val="000000"/>
                <w:sz w:val="21"/>
                <w:szCs w:val="21"/>
              </w:rPr>
            </w:pPr>
            <w:r>
              <w:rPr>
                <w:rFonts w:hint="eastAsia"/>
                <w:bCs/>
                <w:color w:val="000000"/>
                <w:sz w:val="21"/>
                <w:szCs w:val="21"/>
              </w:rPr>
              <w:t>5</w:t>
            </w:r>
          </w:p>
        </w:tc>
        <w:tc>
          <w:tcPr>
            <w:tcW w:w="7618" w:type="dxa"/>
            <w:vAlign w:val="center"/>
          </w:tcPr>
          <w:p w14:paraId="7A893E3D">
            <w:pPr>
              <w:pStyle w:val="17"/>
              <w:jc w:val="left"/>
              <w:rPr>
                <w:rFonts w:ascii="宋体" w:hAnsi="宋体"/>
                <w:bCs/>
              </w:rPr>
            </w:pPr>
            <w:r>
              <w:rPr>
                <w:rFonts w:hint="eastAsia" w:ascii="宋体" w:hAnsi="宋体"/>
              </w:rPr>
              <w:t>爱岗敬业，热爱所学专业，勤学多练，锤炼技能。熟悉本专业相关的法律法规，在实习实践中自觉遵守职业规范，具备职业道德操守。体现人道主义精神和全心全意为护理对象的健康服务的专业精神。</w:t>
            </w:r>
          </w:p>
        </w:tc>
      </w:tr>
    </w:tbl>
    <w:p w14:paraId="4DDFBFC2">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0456"/>
      </w:tblGrid>
      <w:tr w14:paraId="0F0D26C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0456" w:type="dxa"/>
          </w:tcPr>
          <w:p w14:paraId="086B79CB">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F4584C0">
            <w:pPr>
              <w:pStyle w:val="17"/>
              <w:widowControl w:val="0"/>
              <w:jc w:val="left"/>
              <w:rPr>
                <w:rFonts w:ascii="宋体" w:hAnsi="宋体"/>
              </w:rPr>
            </w:pPr>
            <w:r>
              <w:rPr>
                <w:rFonts w:hint="eastAsia" w:ascii="宋体" w:hAnsi="宋体"/>
              </w:rPr>
              <w:t>⑤爱岗敬业，热爱所学专业，勤学多练，锤炼技能。熟悉本专业相关的法律法规，在实习实践中自觉遵守职业规范，具备职业道德操守。</w:t>
            </w:r>
          </w:p>
        </w:tc>
      </w:tr>
      <w:tr w14:paraId="68731FB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0456" w:type="dxa"/>
          </w:tcPr>
          <w:p w14:paraId="3484B936">
            <w:pPr>
              <w:pStyle w:val="17"/>
              <w:widowControl w:val="0"/>
              <w:jc w:val="left"/>
              <w:rPr>
                <w:rFonts w:ascii="宋体" w:hAnsi="宋体"/>
              </w:rPr>
            </w:pPr>
            <w:r>
              <w:rPr>
                <w:rFonts w:ascii="宋体" w:hAnsi="宋体"/>
              </w:rPr>
              <w:t>LO2专业能力：具有人文科学素养，具备从事护理工作或专业的理论知识、实践能力。</w:t>
            </w:r>
          </w:p>
          <w:p w14:paraId="70ECEE9C">
            <w:pPr>
              <w:pStyle w:val="17"/>
              <w:widowControl w:val="0"/>
              <w:jc w:val="left"/>
              <w:rPr>
                <w:rFonts w:ascii="宋体" w:hAnsi="宋体"/>
              </w:rPr>
            </w:pPr>
            <w:r>
              <w:rPr>
                <w:rFonts w:hint="eastAsia" w:ascii="宋体" w:hAnsi="宋体"/>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14:paraId="6A2BC93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0456" w:type="dxa"/>
          </w:tcPr>
          <w:p w14:paraId="46130043">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14:paraId="1165DE3B">
            <w:pPr>
              <w:pStyle w:val="17"/>
              <w:widowControl w:val="0"/>
              <w:numPr>
                <w:ilvl w:val="0"/>
                <w:numId w:val="1"/>
              </w:numPr>
              <w:jc w:val="left"/>
              <w:rPr>
                <w:rFonts w:ascii="宋体" w:hAnsi="宋体"/>
                <w:bCs/>
              </w:rPr>
            </w:pPr>
            <w:r>
              <w:rPr>
                <w:rFonts w:hint="eastAsia" w:ascii="宋体" w:hAnsi="宋体"/>
              </w:rPr>
              <w:t>倾听他人意见、尊重他人观点、分析他人需求。</w:t>
            </w:r>
          </w:p>
        </w:tc>
      </w:tr>
      <w:tr w14:paraId="26DAA51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0456" w:type="dxa"/>
          </w:tcPr>
          <w:p w14:paraId="645E44B2">
            <w:pPr>
              <w:pStyle w:val="17"/>
              <w:widowControl w:val="0"/>
              <w:jc w:val="left"/>
              <w:rPr>
                <w:rFonts w:ascii="宋体" w:hAnsi="宋体"/>
              </w:rPr>
            </w:pPr>
            <w:r>
              <w:rPr>
                <w:rFonts w:ascii="宋体" w:hAnsi="宋体"/>
              </w:rPr>
              <w:t>LO4自主学习：能根据环境需要确定自己的学习目标，并主动地通过搜集信息、分析信息、讨论、实践、质疑、创造等方法来实现学习目标。</w:t>
            </w:r>
          </w:p>
          <w:p w14:paraId="2BB908F7">
            <w:pPr>
              <w:pStyle w:val="17"/>
              <w:widowControl w:val="0"/>
              <w:jc w:val="left"/>
              <w:rPr>
                <w:rFonts w:ascii="宋体" w:hAnsi="宋体"/>
              </w:rPr>
            </w:pPr>
            <w:r>
              <w:rPr>
                <w:rFonts w:hint="eastAsia" w:ascii="宋体" w:hAnsi="宋体"/>
              </w:rPr>
              <w:t>②能搜集、获取达到目标所需要的学习资源，实施学习计划、反思学习计划、持续改进，达到学习目标。</w:t>
            </w:r>
          </w:p>
        </w:tc>
      </w:tr>
      <w:tr w14:paraId="1752EC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0456" w:type="dxa"/>
          </w:tcPr>
          <w:p w14:paraId="76388CBA">
            <w:pPr>
              <w:pStyle w:val="17"/>
              <w:widowControl w:val="0"/>
              <w:jc w:val="left"/>
              <w:rPr>
                <w:rFonts w:ascii="宋体" w:hAnsi="宋体"/>
              </w:rPr>
            </w:pPr>
            <w:r>
              <w:rPr>
                <w:rFonts w:ascii="宋体" w:hAnsi="宋体"/>
              </w:rPr>
              <w:t>LO</w:t>
            </w:r>
            <w:r>
              <w:rPr>
                <w:rFonts w:hint="eastAsia" w:ascii="宋体" w:hAnsi="宋体"/>
              </w:rPr>
              <w:t>5</w:t>
            </w:r>
            <w:r>
              <w:rPr>
                <w:rFonts w:ascii="宋体" w:hAnsi="宋体"/>
              </w:rPr>
              <w:t>健康发展：懂得审美、热爱劳动、为人热忱、身心健康、耐挫折，具有可持续发展的能力。</w:t>
            </w:r>
          </w:p>
          <w:p w14:paraId="4F53EF92">
            <w:pPr>
              <w:widowControl w:val="0"/>
              <w:tabs>
                <w:tab w:val="left" w:pos="4200"/>
              </w:tabs>
              <w:spacing w:line="440" w:lineRule="exact"/>
              <w:jc w:val="both"/>
              <w:rPr>
                <w:color w:val="000000"/>
                <w:sz w:val="21"/>
                <w:szCs w:val="21"/>
              </w:rPr>
            </w:pPr>
            <w:r>
              <w:rPr>
                <w:rFonts w:hint="eastAsia"/>
                <w:color w:val="000000"/>
                <w:sz w:val="21"/>
                <w:szCs w:val="21"/>
              </w:rPr>
              <w:t>②</w:t>
            </w:r>
            <w:r>
              <w:rPr>
                <w:color w:val="000000"/>
                <w:sz w:val="21"/>
                <w:szCs w:val="21"/>
              </w:rPr>
              <w:t>心理健康，学习和参与心理调适各项活动，耐挫折，能承受学习和生活中的压力。</w:t>
            </w:r>
          </w:p>
        </w:tc>
      </w:tr>
    </w:tbl>
    <w:p w14:paraId="042A1415">
      <w:pPr>
        <w:pStyle w:val="20"/>
        <w:spacing w:before="163" w:beforeLines="50" w:after="163"/>
      </w:pPr>
      <w:r>
        <w:rPr>
          <w:rFonts w:hint="eastAsia"/>
        </w:rPr>
        <w:t xml:space="preserve">（三）毕业要求与课程目标的关系 </w:t>
      </w:r>
    </w:p>
    <w:tbl>
      <w:tblPr>
        <w:tblStyle w:val="9"/>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75"/>
        <w:gridCol w:w="996"/>
        <w:gridCol w:w="996"/>
        <w:gridCol w:w="5977"/>
        <w:gridCol w:w="1347"/>
      </w:tblGrid>
      <w:tr w14:paraId="6227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75" w:type="dxa"/>
            <w:tcBorders>
              <w:top w:val="single" w:color="auto" w:sz="12" w:space="0"/>
              <w:left w:val="single" w:color="auto" w:sz="12" w:space="0"/>
              <w:right w:val="single" w:color="auto" w:sz="4" w:space="0"/>
            </w:tcBorders>
            <w:shd w:val="clear" w:color="auto" w:fill="auto"/>
            <w:vAlign w:val="center"/>
          </w:tcPr>
          <w:p w14:paraId="35F009D8">
            <w:pPr>
              <w:pStyle w:val="16"/>
              <w:rPr>
                <w:szCs w:val="16"/>
              </w:rPr>
            </w:pPr>
            <w:r>
              <w:rPr>
                <w:rFonts w:hint="eastAsia" w:ascii="黑体" w:hAnsi="黑体"/>
                <w:szCs w:val="18"/>
              </w:rPr>
              <w:t>毕业要求</w:t>
            </w:r>
          </w:p>
        </w:tc>
        <w:tc>
          <w:tcPr>
            <w:tcW w:w="996" w:type="dxa"/>
            <w:tcBorders>
              <w:top w:val="single" w:color="auto" w:sz="12" w:space="0"/>
              <w:left w:val="single" w:color="auto" w:sz="4" w:space="0"/>
            </w:tcBorders>
            <w:vAlign w:val="center"/>
          </w:tcPr>
          <w:p w14:paraId="3E5F5A7A">
            <w:pPr>
              <w:pStyle w:val="16"/>
              <w:rPr>
                <w:szCs w:val="16"/>
              </w:rPr>
            </w:pPr>
            <w:r>
              <w:rPr>
                <w:rFonts w:hint="eastAsia"/>
                <w:szCs w:val="16"/>
              </w:rPr>
              <w:t>指标点</w:t>
            </w:r>
          </w:p>
        </w:tc>
        <w:tc>
          <w:tcPr>
            <w:tcW w:w="996" w:type="dxa"/>
            <w:tcBorders>
              <w:top w:val="single" w:color="auto" w:sz="12" w:space="0"/>
              <w:right w:val="double" w:color="auto" w:sz="4" w:space="0"/>
            </w:tcBorders>
            <w:shd w:val="clear" w:color="auto" w:fill="auto"/>
            <w:vAlign w:val="center"/>
          </w:tcPr>
          <w:p w14:paraId="6D11E7F2">
            <w:pPr>
              <w:pStyle w:val="16"/>
              <w:rPr>
                <w:szCs w:val="16"/>
              </w:rPr>
            </w:pPr>
            <w:r>
              <w:rPr>
                <w:rFonts w:hint="eastAsia"/>
                <w:szCs w:val="16"/>
              </w:rPr>
              <w:t>支撑度</w:t>
            </w:r>
          </w:p>
        </w:tc>
        <w:tc>
          <w:tcPr>
            <w:tcW w:w="5977" w:type="dxa"/>
            <w:tcBorders>
              <w:top w:val="single" w:color="auto" w:sz="12" w:space="0"/>
            </w:tcBorders>
            <w:vAlign w:val="center"/>
          </w:tcPr>
          <w:p w14:paraId="33A7F965">
            <w:pPr>
              <w:pStyle w:val="16"/>
              <w:rPr>
                <w:szCs w:val="16"/>
              </w:rPr>
            </w:pPr>
            <w:r>
              <w:rPr>
                <w:rFonts w:hint="eastAsia"/>
                <w:szCs w:val="16"/>
              </w:rPr>
              <w:t>课程目标</w:t>
            </w:r>
          </w:p>
        </w:tc>
        <w:tc>
          <w:tcPr>
            <w:tcW w:w="1347" w:type="dxa"/>
            <w:tcBorders>
              <w:top w:val="single" w:color="auto" w:sz="12" w:space="0"/>
              <w:right w:val="single" w:color="auto" w:sz="12" w:space="0"/>
            </w:tcBorders>
            <w:vAlign w:val="center"/>
          </w:tcPr>
          <w:p w14:paraId="6B14D8B8">
            <w:pPr>
              <w:pStyle w:val="16"/>
              <w:rPr>
                <w:szCs w:val="16"/>
              </w:rPr>
            </w:pPr>
            <w:r>
              <w:rPr>
                <w:rFonts w:hint="eastAsia"/>
                <w:szCs w:val="16"/>
              </w:rPr>
              <w:t>对指标点的贡献度</w:t>
            </w:r>
          </w:p>
        </w:tc>
      </w:tr>
      <w:tr w14:paraId="6E28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5" w:type="dxa"/>
            <w:tcBorders>
              <w:left w:val="single" w:color="auto" w:sz="12" w:space="0"/>
              <w:right w:val="single" w:color="auto" w:sz="4" w:space="0"/>
            </w:tcBorders>
            <w:shd w:val="clear" w:color="auto" w:fill="auto"/>
            <w:vAlign w:val="center"/>
          </w:tcPr>
          <w:p w14:paraId="038E8C55">
            <w:pPr>
              <w:pStyle w:val="17"/>
              <w:rPr>
                <w:b/>
              </w:rPr>
            </w:pPr>
            <w:r>
              <w:rPr>
                <w:b/>
              </w:rPr>
              <w:t>L01</w:t>
            </w:r>
          </w:p>
        </w:tc>
        <w:tc>
          <w:tcPr>
            <w:tcW w:w="996" w:type="dxa"/>
            <w:tcBorders>
              <w:left w:val="single" w:color="auto" w:sz="4" w:space="0"/>
            </w:tcBorders>
            <w:vAlign w:val="center"/>
          </w:tcPr>
          <w:p w14:paraId="578DE170">
            <w:pPr>
              <w:pStyle w:val="17"/>
              <w:rPr>
                <w:bCs/>
              </w:rPr>
            </w:pPr>
            <w:r>
              <w:rPr>
                <w:rFonts w:hint="eastAsia"/>
                <w:bCs/>
              </w:rPr>
              <w:t>⑤</w:t>
            </w:r>
          </w:p>
        </w:tc>
        <w:tc>
          <w:tcPr>
            <w:tcW w:w="996" w:type="dxa"/>
            <w:tcBorders>
              <w:right w:val="double" w:color="auto" w:sz="4" w:space="0"/>
            </w:tcBorders>
            <w:shd w:val="clear" w:color="auto" w:fill="auto"/>
            <w:vAlign w:val="center"/>
          </w:tcPr>
          <w:p w14:paraId="79E310D2">
            <w:pPr>
              <w:pStyle w:val="17"/>
              <w:rPr>
                <w:rFonts w:ascii="宋体" w:hAnsi="宋体"/>
              </w:rPr>
            </w:pPr>
            <w:r>
              <w:rPr>
                <w:rFonts w:hint="eastAsia" w:ascii="宋体" w:hAnsi="宋体"/>
              </w:rPr>
              <w:t>M</w:t>
            </w:r>
          </w:p>
        </w:tc>
        <w:tc>
          <w:tcPr>
            <w:tcW w:w="5977" w:type="dxa"/>
            <w:vAlign w:val="center"/>
          </w:tcPr>
          <w:p w14:paraId="1AD45C5A">
            <w:pPr>
              <w:pStyle w:val="17"/>
              <w:jc w:val="left"/>
              <w:rPr>
                <w:rFonts w:ascii="宋体" w:hAnsi="宋体"/>
              </w:rPr>
            </w:pPr>
            <w:r>
              <w:rPr>
                <w:rFonts w:hint="eastAsia" w:ascii="宋体" w:hAnsi="宋体"/>
              </w:rPr>
              <w:t>爱岗敬业，热爱所学专业，勤学多练，锤炼技能。熟悉本专业相关的法律法规，在实习实践中自觉遵守职业规范，具备职业道德操守。体现人道主义精神和全心全意为护理对象的健康服务的专业精神。</w:t>
            </w:r>
          </w:p>
          <w:p w14:paraId="7AA7CADA">
            <w:pPr>
              <w:pStyle w:val="17"/>
              <w:jc w:val="left"/>
              <w:rPr>
                <w:rFonts w:ascii="宋体" w:hAnsi="宋体"/>
              </w:rPr>
            </w:pPr>
            <w:r>
              <w:rPr>
                <w:rFonts w:hint="eastAsia" w:ascii="宋体" w:hAnsi="宋体"/>
              </w:rPr>
              <w:t>树立“以病人为中心”的理念，培养良好的护士职业素养，</w:t>
            </w:r>
            <w:r>
              <w:rPr>
                <w:rFonts w:ascii="宋体" w:hAnsi="宋体"/>
              </w:rPr>
              <w:t>具有慎独修养、严谨求实践行医德工作态度和符合职业道德标准的职业行为。</w:t>
            </w:r>
          </w:p>
        </w:tc>
        <w:tc>
          <w:tcPr>
            <w:tcW w:w="1347" w:type="dxa"/>
            <w:tcBorders>
              <w:right w:val="single" w:color="auto" w:sz="12" w:space="0"/>
            </w:tcBorders>
            <w:vAlign w:val="center"/>
          </w:tcPr>
          <w:p w14:paraId="00A3E67B">
            <w:pPr>
              <w:pStyle w:val="17"/>
              <w:rPr>
                <w:rFonts w:ascii="宋体" w:hAnsi="宋体"/>
                <w:bCs/>
              </w:rPr>
            </w:pPr>
            <w:r>
              <w:rPr>
                <w:rFonts w:ascii="宋体" w:hAnsi="宋体"/>
                <w:bCs/>
              </w:rPr>
              <w:t>100</w:t>
            </w:r>
            <w:r>
              <w:rPr>
                <w:rFonts w:hint="eastAsia" w:ascii="宋体" w:hAnsi="宋体"/>
                <w:bCs/>
              </w:rPr>
              <w:t>%</w:t>
            </w:r>
          </w:p>
        </w:tc>
      </w:tr>
      <w:tr w14:paraId="124D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5" w:type="dxa"/>
            <w:vMerge w:val="restart"/>
            <w:tcBorders>
              <w:left w:val="single" w:color="auto" w:sz="12" w:space="0"/>
              <w:right w:val="single" w:color="auto" w:sz="4" w:space="0"/>
            </w:tcBorders>
            <w:shd w:val="clear" w:color="auto" w:fill="auto"/>
            <w:vAlign w:val="center"/>
          </w:tcPr>
          <w:p w14:paraId="27B78810">
            <w:pPr>
              <w:pStyle w:val="17"/>
              <w:rPr>
                <w:b/>
                <w:bCs/>
              </w:rPr>
            </w:pPr>
            <w:r>
              <w:rPr>
                <w:rFonts w:hint="eastAsia"/>
                <w:b/>
                <w:bCs/>
              </w:rPr>
              <w:t>L</w:t>
            </w:r>
            <w:r>
              <w:rPr>
                <w:b/>
                <w:bCs/>
              </w:rPr>
              <w:t>02</w:t>
            </w:r>
          </w:p>
        </w:tc>
        <w:tc>
          <w:tcPr>
            <w:tcW w:w="996" w:type="dxa"/>
            <w:vMerge w:val="restart"/>
            <w:tcBorders>
              <w:left w:val="single" w:color="auto" w:sz="4" w:space="0"/>
            </w:tcBorders>
            <w:vAlign w:val="center"/>
          </w:tcPr>
          <w:p w14:paraId="017C97E0">
            <w:pPr>
              <w:pStyle w:val="17"/>
              <w:rPr>
                <w:rFonts w:cs="Times New Roman"/>
                <w:bCs/>
              </w:rPr>
            </w:pPr>
            <w:r>
              <w:rPr>
                <w:rFonts w:hint="eastAsia" w:cs="Times New Roman"/>
                <w:bCs/>
              </w:rPr>
              <w:t>③</w:t>
            </w:r>
          </w:p>
        </w:tc>
        <w:tc>
          <w:tcPr>
            <w:tcW w:w="996" w:type="dxa"/>
            <w:vMerge w:val="restart"/>
            <w:tcBorders>
              <w:right w:val="double" w:color="auto" w:sz="4" w:space="0"/>
            </w:tcBorders>
            <w:shd w:val="clear" w:color="auto" w:fill="auto"/>
            <w:vAlign w:val="center"/>
          </w:tcPr>
          <w:p w14:paraId="7FC089B0">
            <w:pPr>
              <w:pStyle w:val="17"/>
              <w:rPr>
                <w:rFonts w:ascii="宋体" w:hAnsi="宋体"/>
              </w:rPr>
            </w:pPr>
            <w:r>
              <w:rPr>
                <w:rFonts w:hint="eastAsia" w:ascii="宋体" w:hAnsi="宋体"/>
              </w:rPr>
              <w:t>H</w:t>
            </w:r>
          </w:p>
        </w:tc>
        <w:tc>
          <w:tcPr>
            <w:tcW w:w="5977" w:type="dxa"/>
            <w:vAlign w:val="center"/>
          </w:tcPr>
          <w:p w14:paraId="02C098BC">
            <w:pPr>
              <w:pStyle w:val="17"/>
              <w:jc w:val="left"/>
              <w:rPr>
                <w:rFonts w:ascii="宋体" w:hAnsi="宋体"/>
              </w:rPr>
            </w:pPr>
            <w:r>
              <w:rPr>
                <w:rFonts w:hint="eastAsia" w:ascii="宋体" w:hAnsi="宋体"/>
              </w:rPr>
              <w:t>1</w:t>
            </w:r>
            <w:r>
              <w:rPr>
                <w:rFonts w:ascii="宋体" w:hAnsi="宋体"/>
              </w:rPr>
              <w:t xml:space="preserve">.能够阐述护理学专业的基本理论和基本知识。 </w:t>
            </w:r>
          </w:p>
        </w:tc>
        <w:tc>
          <w:tcPr>
            <w:tcW w:w="1347" w:type="dxa"/>
            <w:tcBorders>
              <w:right w:val="single" w:color="auto" w:sz="12" w:space="0"/>
            </w:tcBorders>
            <w:vAlign w:val="center"/>
          </w:tcPr>
          <w:p w14:paraId="50244554">
            <w:pPr>
              <w:pStyle w:val="17"/>
              <w:rPr>
                <w:rFonts w:ascii="宋体" w:hAnsi="宋体"/>
                <w:bCs/>
              </w:rPr>
            </w:pPr>
            <w:r>
              <w:rPr>
                <w:rFonts w:hint="eastAsia" w:ascii="宋体" w:hAnsi="宋体"/>
                <w:bCs/>
              </w:rPr>
              <w:t>4</w:t>
            </w:r>
            <w:r>
              <w:rPr>
                <w:rFonts w:ascii="宋体" w:hAnsi="宋体"/>
                <w:bCs/>
              </w:rPr>
              <w:t>0</w:t>
            </w:r>
            <w:r>
              <w:rPr>
                <w:rFonts w:hint="eastAsia" w:ascii="宋体" w:hAnsi="宋体"/>
                <w:bCs/>
              </w:rPr>
              <w:t>%</w:t>
            </w:r>
          </w:p>
        </w:tc>
      </w:tr>
      <w:tr w14:paraId="4AB7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5" w:type="dxa"/>
            <w:vMerge w:val="continue"/>
            <w:tcBorders>
              <w:left w:val="single" w:color="auto" w:sz="12" w:space="0"/>
              <w:right w:val="single" w:color="auto" w:sz="4" w:space="0"/>
            </w:tcBorders>
            <w:shd w:val="clear" w:color="auto" w:fill="auto"/>
            <w:vAlign w:val="center"/>
          </w:tcPr>
          <w:p w14:paraId="7BBBBCB8">
            <w:pPr>
              <w:pStyle w:val="17"/>
            </w:pPr>
          </w:p>
        </w:tc>
        <w:tc>
          <w:tcPr>
            <w:tcW w:w="996" w:type="dxa"/>
            <w:vMerge w:val="continue"/>
            <w:tcBorders>
              <w:left w:val="single" w:color="auto" w:sz="4" w:space="0"/>
            </w:tcBorders>
            <w:vAlign w:val="center"/>
          </w:tcPr>
          <w:p w14:paraId="3E0673AC">
            <w:pPr>
              <w:pStyle w:val="17"/>
              <w:rPr>
                <w:rFonts w:cs="Times New Roman"/>
                <w:bCs/>
              </w:rPr>
            </w:pPr>
          </w:p>
        </w:tc>
        <w:tc>
          <w:tcPr>
            <w:tcW w:w="996" w:type="dxa"/>
            <w:vMerge w:val="continue"/>
            <w:tcBorders>
              <w:right w:val="double" w:color="auto" w:sz="4" w:space="0"/>
            </w:tcBorders>
            <w:shd w:val="clear" w:color="auto" w:fill="auto"/>
            <w:vAlign w:val="center"/>
          </w:tcPr>
          <w:p w14:paraId="4046B63C">
            <w:pPr>
              <w:pStyle w:val="17"/>
              <w:rPr>
                <w:rFonts w:ascii="宋体" w:hAnsi="宋体"/>
              </w:rPr>
            </w:pPr>
          </w:p>
        </w:tc>
        <w:tc>
          <w:tcPr>
            <w:tcW w:w="5977" w:type="dxa"/>
            <w:vAlign w:val="center"/>
          </w:tcPr>
          <w:p w14:paraId="5B0C20A6">
            <w:pPr>
              <w:pStyle w:val="17"/>
              <w:jc w:val="left"/>
              <w:rPr>
                <w:rFonts w:ascii="宋体" w:hAnsi="宋体"/>
              </w:rPr>
            </w:pPr>
            <w:r>
              <w:rPr>
                <w:rFonts w:hint="eastAsia" w:ascii="宋体" w:hAnsi="宋体"/>
              </w:rPr>
              <w:t>2</w:t>
            </w:r>
            <w:r>
              <w:rPr>
                <w:rFonts w:ascii="宋体" w:hAnsi="宋体"/>
              </w:rPr>
              <w:t>.熟练运用基础护理技术、 急救护理技术。</w:t>
            </w:r>
          </w:p>
        </w:tc>
        <w:tc>
          <w:tcPr>
            <w:tcW w:w="1347" w:type="dxa"/>
            <w:tcBorders>
              <w:right w:val="single" w:color="auto" w:sz="12" w:space="0"/>
            </w:tcBorders>
            <w:vAlign w:val="center"/>
          </w:tcPr>
          <w:p w14:paraId="684DF854">
            <w:pPr>
              <w:pStyle w:val="17"/>
              <w:rPr>
                <w:rFonts w:ascii="宋体" w:hAnsi="宋体"/>
                <w:bCs/>
              </w:rPr>
            </w:pPr>
            <w:r>
              <w:rPr>
                <w:rFonts w:hint="eastAsia" w:ascii="宋体" w:hAnsi="宋体"/>
                <w:bCs/>
              </w:rPr>
              <w:t>4</w:t>
            </w:r>
            <w:r>
              <w:rPr>
                <w:rFonts w:ascii="宋体" w:hAnsi="宋体"/>
                <w:bCs/>
              </w:rPr>
              <w:t>0</w:t>
            </w:r>
            <w:r>
              <w:rPr>
                <w:rFonts w:hint="eastAsia" w:ascii="宋体" w:hAnsi="宋体"/>
                <w:bCs/>
              </w:rPr>
              <w:t>%</w:t>
            </w:r>
          </w:p>
        </w:tc>
      </w:tr>
      <w:tr w14:paraId="6096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5" w:type="dxa"/>
            <w:vMerge w:val="continue"/>
            <w:tcBorders>
              <w:left w:val="single" w:color="auto" w:sz="12" w:space="0"/>
              <w:right w:val="single" w:color="auto" w:sz="4" w:space="0"/>
            </w:tcBorders>
            <w:shd w:val="clear" w:color="auto" w:fill="auto"/>
            <w:vAlign w:val="center"/>
          </w:tcPr>
          <w:p w14:paraId="3521C321">
            <w:pPr>
              <w:pStyle w:val="17"/>
            </w:pPr>
          </w:p>
        </w:tc>
        <w:tc>
          <w:tcPr>
            <w:tcW w:w="996" w:type="dxa"/>
            <w:vMerge w:val="continue"/>
            <w:tcBorders>
              <w:left w:val="single" w:color="auto" w:sz="4" w:space="0"/>
            </w:tcBorders>
            <w:vAlign w:val="center"/>
          </w:tcPr>
          <w:p w14:paraId="6E964541">
            <w:pPr>
              <w:pStyle w:val="17"/>
              <w:rPr>
                <w:rFonts w:cs="Times New Roman"/>
                <w:bCs/>
              </w:rPr>
            </w:pPr>
          </w:p>
        </w:tc>
        <w:tc>
          <w:tcPr>
            <w:tcW w:w="996" w:type="dxa"/>
            <w:vMerge w:val="continue"/>
            <w:tcBorders>
              <w:right w:val="double" w:color="auto" w:sz="4" w:space="0"/>
            </w:tcBorders>
            <w:shd w:val="clear" w:color="auto" w:fill="auto"/>
            <w:vAlign w:val="center"/>
          </w:tcPr>
          <w:p w14:paraId="009F25F8">
            <w:pPr>
              <w:pStyle w:val="17"/>
              <w:rPr>
                <w:rFonts w:ascii="宋体" w:hAnsi="宋体"/>
              </w:rPr>
            </w:pPr>
          </w:p>
        </w:tc>
        <w:tc>
          <w:tcPr>
            <w:tcW w:w="5977" w:type="dxa"/>
            <w:vAlign w:val="center"/>
          </w:tcPr>
          <w:p w14:paraId="28F59A76">
            <w:pPr>
              <w:pStyle w:val="17"/>
              <w:jc w:val="left"/>
              <w:rPr>
                <w:rFonts w:ascii="宋体" w:hAnsi="宋体"/>
              </w:rPr>
            </w:pPr>
            <w:r>
              <w:rPr>
                <w:rFonts w:hint="eastAsia" w:ascii="宋体" w:hAnsi="宋体"/>
              </w:rPr>
              <w:t>3</w:t>
            </w:r>
            <w:r>
              <w:rPr>
                <w:rFonts w:ascii="宋体" w:hAnsi="宋体"/>
              </w:rPr>
              <w:t>.具有病情观察和护理能力。</w:t>
            </w:r>
          </w:p>
        </w:tc>
        <w:tc>
          <w:tcPr>
            <w:tcW w:w="1347" w:type="dxa"/>
            <w:tcBorders>
              <w:right w:val="single" w:color="auto" w:sz="12" w:space="0"/>
            </w:tcBorders>
            <w:vAlign w:val="center"/>
          </w:tcPr>
          <w:p w14:paraId="462659A2">
            <w:pPr>
              <w:pStyle w:val="17"/>
              <w:rPr>
                <w:rFonts w:ascii="宋体" w:hAnsi="宋体"/>
                <w:bCs/>
              </w:rPr>
            </w:pPr>
            <w:r>
              <w:rPr>
                <w:rFonts w:ascii="宋体" w:hAnsi="宋体"/>
                <w:bCs/>
              </w:rPr>
              <w:t>20</w:t>
            </w:r>
            <w:r>
              <w:rPr>
                <w:rFonts w:hint="eastAsia" w:ascii="宋体" w:hAnsi="宋体"/>
                <w:bCs/>
              </w:rPr>
              <w:t>%</w:t>
            </w:r>
          </w:p>
        </w:tc>
      </w:tr>
      <w:tr w14:paraId="236B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5" w:type="dxa"/>
            <w:tcBorders>
              <w:left w:val="single" w:color="auto" w:sz="12" w:space="0"/>
              <w:right w:val="single" w:color="auto" w:sz="4" w:space="0"/>
            </w:tcBorders>
            <w:shd w:val="clear" w:color="auto" w:fill="auto"/>
          </w:tcPr>
          <w:p w14:paraId="1085CC77">
            <w:pPr>
              <w:pStyle w:val="17"/>
              <w:rPr>
                <w:b/>
                <w:bCs/>
              </w:rPr>
            </w:pPr>
            <w:r>
              <w:rPr>
                <w:rFonts w:hint="eastAsia"/>
                <w:b/>
                <w:bCs/>
              </w:rPr>
              <w:t>L</w:t>
            </w:r>
            <w:r>
              <w:rPr>
                <w:b/>
                <w:bCs/>
              </w:rPr>
              <w:t>03</w:t>
            </w:r>
          </w:p>
        </w:tc>
        <w:tc>
          <w:tcPr>
            <w:tcW w:w="996" w:type="dxa"/>
            <w:tcBorders>
              <w:left w:val="single" w:color="auto" w:sz="4" w:space="0"/>
            </w:tcBorders>
            <w:vAlign w:val="center"/>
          </w:tcPr>
          <w:p w14:paraId="3BDC33D6">
            <w:pPr>
              <w:pStyle w:val="17"/>
              <w:rPr>
                <w:rFonts w:cs="Times New Roman"/>
                <w:bCs/>
              </w:rPr>
            </w:pPr>
            <w:r>
              <w:rPr>
                <w:rFonts w:hint="eastAsia" w:cs="Times New Roman"/>
                <w:bCs/>
              </w:rPr>
              <w:t>①</w:t>
            </w:r>
          </w:p>
        </w:tc>
        <w:tc>
          <w:tcPr>
            <w:tcW w:w="996" w:type="dxa"/>
            <w:tcBorders>
              <w:right w:val="double" w:color="auto" w:sz="4" w:space="0"/>
            </w:tcBorders>
            <w:shd w:val="clear" w:color="auto" w:fill="auto"/>
            <w:vAlign w:val="center"/>
          </w:tcPr>
          <w:p w14:paraId="42DAC068">
            <w:pPr>
              <w:pStyle w:val="17"/>
              <w:rPr>
                <w:rFonts w:ascii="宋体" w:hAnsi="宋体"/>
              </w:rPr>
            </w:pPr>
            <w:r>
              <w:rPr>
                <w:rFonts w:ascii="宋体" w:hAnsi="宋体"/>
              </w:rPr>
              <w:t>H</w:t>
            </w:r>
          </w:p>
        </w:tc>
        <w:tc>
          <w:tcPr>
            <w:tcW w:w="5977" w:type="dxa"/>
            <w:vAlign w:val="center"/>
          </w:tcPr>
          <w:p w14:paraId="45793C8C">
            <w:pPr>
              <w:pStyle w:val="17"/>
              <w:jc w:val="left"/>
              <w:rPr>
                <w:rFonts w:ascii="宋体" w:hAnsi="宋体"/>
              </w:rPr>
            </w:pPr>
            <w:r>
              <w:rPr>
                <w:rFonts w:hint="eastAsia" w:ascii="宋体" w:hAnsi="宋体"/>
              </w:rPr>
              <w:t>1</w:t>
            </w:r>
            <w:r>
              <w:rPr>
                <w:rFonts w:ascii="宋体" w:hAnsi="宋体"/>
              </w:rPr>
              <w:t>.</w:t>
            </w:r>
            <w:r>
              <w:rPr>
                <w:rFonts w:hint="eastAsia" w:ascii="宋体" w:hAnsi="宋体"/>
              </w:rPr>
              <w:t>具有在护理专业实践中有效沟通与合作的能力。</w:t>
            </w:r>
          </w:p>
        </w:tc>
        <w:tc>
          <w:tcPr>
            <w:tcW w:w="1347" w:type="dxa"/>
            <w:tcBorders>
              <w:right w:val="single" w:color="auto" w:sz="12" w:space="0"/>
            </w:tcBorders>
            <w:vAlign w:val="center"/>
          </w:tcPr>
          <w:p w14:paraId="76F11085">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3338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5" w:type="dxa"/>
            <w:tcBorders>
              <w:left w:val="single" w:color="auto" w:sz="12" w:space="0"/>
              <w:right w:val="single" w:color="auto" w:sz="4" w:space="0"/>
            </w:tcBorders>
            <w:shd w:val="clear" w:color="auto" w:fill="auto"/>
          </w:tcPr>
          <w:p w14:paraId="18A0FF59">
            <w:pPr>
              <w:pStyle w:val="17"/>
              <w:rPr>
                <w:b/>
                <w:bCs/>
              </w:rPr>
            </w:pPr>
            <w:r>
              <w:rPr>
                <w:rFonts w:hint="eastAsia"/>
                <w:b/>
                <w:bCs/>
              </w:rPr>
              <w:t>L</w:t>
            </w:r>
            <w:r>
              <w:rPr>
                <w:b/>
                <w:bCs/>
              </w:rPr>
              <w:t>04</w:t>
            </w:r>
          </w:p>
        </w:tc>
        <w:tc>
          <w:tcPr>
            <w:tcW w:w="996" w:type="dxa"/>
            <w:tcBorders>
              <w:left w:val="single" w:color="auto" w:sz="4" w:space="0"/>
            </w:tcBorders>
            <w:vAlign w:val="center"/>
          </w:tcPr>
          <w:p w14:paraId="5B93DF71">
            <w:pPr>
              <w:pStyle w:val="17"/>
              <w:rPr>
                <w:rFonts w:cs="Times New Roman"/>
                <w:bCs/>
              </w:rPr>
            </w:pPr>
            <w:r>
              <w:rPr>
                <w:rFonts w:hint="eastAsia" w:cs="Times New Roman"/>
                <w:bCs/>
              </w:rPr>
              <w:t>②</w:t>
            </w:r>
          </w:p>
        </w:tc>
        <w:tc>
          <w:tcPr>
            <w:tcW w:w="996" w:type="dxa"/>
            <w:tcBorders>
              <w:right w:val="double" w:color="auto" w:sz="4" w:space="0"/>
            </w:tcBorders>
            <w:shd w:val="clear" w:color="auto" w:fill="auto"/>
            <w:vAlign w:val="center"/>
          </w:tcPr>
          <w:p w14:paraId="5AFABB98">
            <w:pPr>
              <w:pStyle w:val="17"/>
              <w:rPr>
                <w:rFonts w:ascii="宋体" w:hAnsi="宋体"/>
              </w:rPr>
            </w:pPr>
            <w:r>
              <w:rPr>
                <w:rFonts w:ascii="宋体" w:hAnsi="宋体"/>
              </w:rPr>
              <w:t>L</w:t>
            </w:r>
          </w:p>
        </w:tc>
        <w:tc>
          <w:tcPr>
            <w:tcW w:w="5977" w:type="dxa"/>
            <w:vAlign w:val="center"/>
          </w:tcPr>
          <w:p w14:paraId="528BDDAF">
            <w:pPr>
              <w:pStyle w:val="17"/>
              <w:jc w:val="left"/>
              <w:rPr>
                <w:rFonts w:ascii="宋体" w:hAnsi="宋体"/>
              </w:rPr>
            </w:pPr>
            <w:r>
              <w:rPr>
                <w:rFonts w:hint="eastAsia" w:ascii="宋体" w:hAnsi="宋体"/>
              </w:rPr>
              <w:t>1</w:t>
            </w:r>
            <w:r>
              <w:rPr>
                <w:rFonts w:ascii="宋体" w:hAnsi="宋体"/>
              </w:rPr>
              <w:t>.</w:t>
            </w:r>
            <w:r>
              <w:rPr>
                <w:rFonts w:hint="eastAsia" w:ascii="宋体" w:hAnsi="宋体"/>
              </w:rPr>
              <w:t>能搜集、获取达到目标所需要的学习资源，实施学习计划、持续改进，达到学习目标。</w:t>
            </w:r>
          </w:p>
        </w:tc>
        <w:tc>
          <w:tcPr>
            <w:tcW w:w="1347" w:type="dxa"/>
            <w:tcBorders>
              <w:right w:val="single" w:color="auto" w:sz="12" w:space="0"/>
            </w:tcBorders>
            <w:vAlign w:val="center"/>
          </w:tcPr>
          <w:p w14:paraId="4E19A072">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3DAC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5" w:type="dxa"/>
            <w:tcBorders>
              <w:left w:val="single" w:color="auto" w:sz="12" w:space="0"/>
              <w:bottom w:val="single" w:color="auto" w:sz="12" w:space="0"/>
              <w:right w:val="single" w:color="auto" w:sz="4" w:space="0"/>
            </w:tcBorders>
            <w:shd w:val="clear" w:color="auto" w:fill="auto"/>
          </w:tcPr>
          <w:p w14:paraId="790F6C20">
            <w:pPr>
              <w:pStyle w:val="17"/>
              <w:rPr>
                <w:b/>
                <w:bCs/>
              </w:rPr>
            </w:pPr>
            <w:r>
              <w:rPr>
                <w:rFonts w:hint="eastAsia"/>
                <w:b/>
                <w:bCs/>
              </w:rPr>
              <w:t>L</w:t>
            </w:r>
            <w:r>
              <w:rPr>
                <w:b/>
                <w:bCs/>
              </w:rPr>
              <w:t>0</w:t>
            </w:r>
            <w:r>
              <w:rPr>
                <w:rFonts w:hint="eastAsia"/>
                <w:b/>
                <w:bCs/>
              </w:rPr>
              <w:t>5</w:t>
            </w:r>
          </w:p>
        </w:tc>
        <w:tc>
          <w:tcPr>
            <w:tcW w:w="996" w:type="dxa"/>
            <w:tcBorders>
              <w:left w:val="single" w:color="auto" w:sz="4" w:space="0"/>
              <w:bottom w:val="single" w:color="auto" w:sz="12" w:space="0"/>
            </w:tcBorders>
            <w:vAlign w:val="center"/>
          </w:tcPr>
          <w:p w14:paraId="1AD5D540">
            <w:pPr>
              <w:pStyle w:val="17"/>
              <w:rPr>
                <w:rFonts w:cs="Times New Roman"/>
                <w:bCs/>
              </w:rPr>
            </w:pPr>
            <w:r>
              <w:rPr>
                <w:rFonts w:hint="eastAsia" w:cs="Times New Roman"/>
                <w:bCs/>
              </w:rPr>
              <w:t>①</w:t>
            </w:r>
          </w:p>
        </w:tc>
        <w:tc>
          <w:tcPr>
            <w:tcW w:w="996" w:type="dxa"/>
            <w:tcBorders>
              <w:bottom w:val="single" w:color="auto" w:sz="12" w:space="0"/>
              <w:right w:val="double" w:color="auto" w:sz="4" w:space="0"/>
            </w:tcBorders>
            <w:shd w:val="clear" w:color="auto" w:fill="auto"/>
            <w:vAlign w:val="center"/>
          </w:tcPr>
          <w:p w14:paraId="02CF98B8">
            <w:pPr>
              <w:pStyle w:val="17"/>
              <w:rPr>
                <w:rFonts w:ascii="宋体" w:hAnsi="宋体"/>
              </w:rPr>
            </w:pPr>
            <w:r>
              <w:rPr>
                <w:rFonts w:hint="eastAsia" w:ascii="宋体" w:hAnsi="宋体"/>
              </w:rPr>
              <w:t>M</w:t>
            </w:r>
          </w:p>
        </w:tc>
        <w:tc>
          <w:tcPr>
            <w:tcW w:w="5977" w:type="dxa"/>
            <w:tcBorders>
              <w:bottom w:val="single" w:color="auto" w:sz="12" w:space="0"/>
            </w:tcBorders>
            <w:vAlign w:val="center"/>
          </w:tcPr>
          <w:p w14:paraId="5831638D">
            <w:pPr>
              <w:tabs>
                <w:tab w:val="left" w:pos="4200"/>
              </w:tabs>
              <w:spacing w:line="440" w:lineRule="exact"/>
              <w:rPr>
                <w:color w:val="000000"/>
                <w:sz w:val="21"/>
                <w:szCs w:val="21"/>
              </w:rPr>
            </w:pPr>
            <w:r>
              <w:rPr>
                <w:rFonts w:hint="eastAsia"/>
                <w:color w:val="000000"/>
                <w:sz w:val="21"/>
                <w:szCs w:val="21"/>
              </w:rPr>
              <w:t>1</w:t>
            </w:r>
            <w:r>
              <w:rPr>
                <w:color w:val="000000"/>
                <w:sz w:val="21"/>
                <w:szCs w:val="21"/>
              </w:rPr>
              <w:t>.耐挫折，能承受学习和生活中的压力。</w:t>
            </w:r>
          </w:p>
        </w:tc>
        <w:tc>
          <w:tcPr>
            <w:tcW w:w="1347" w:type="dxa"/>
            <w:tcBorders>
              <w:bottom w:val="single" w:color="auto" w:sz="12" w:space="0"/>
              <w:right w:val="single" w:color="auto" w:sz="12" w:space="0"/>
            </w:tcBorders>
            <w:vAlign w:val="center"/>
          </w:tcPr>
          <w:p w14:paraId="6061A95A">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bl>
    <w:p w14:paraId="7738E6DA">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4C46F52">
      <w:pPr>
        <w:pStyle w:val="20"/>
        <w:spacing w:before="81" w:after="163"/>
      </w:pPr>
      <w:r>
        <w:rPr>
          <w:rFonts w:hint="eastAsia"/>
        </w:rPr>
        <w:t>（一）各教学单元预期学习成果与教学内容</w:t>
      </w:r>
    </w:p>
    <w:tbl>
      <w:tblPr>
        <w:tblStyle w:val="9"/>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3174"/>
        <w:gridCol w:w="2410"/>
        <w:gridCol w:w="1488"/>
        <w:gridCol w:w="1276"/>
      </w:tblGrid>
      <w:tr w14:paraId="15D8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3888A83E">
            <w:pPr>
              <w:snapToGrid w:val="0"/>
              <w:spacing w:line="288" w:lineRule="auto"/>
              <w:jc w:val="center"/>
              <w:rPr>
                <w:b/>
                <w:color w:val="000000"/>
                <w:sz w:val="20"/>
                <w:szCs w:val="20"/>
              </w:rPr>
            </w:pPr>
            <w:r>
              <w:rPr>
                <w:rFonts w:hint="eastAsia"/>
                <w:b/>
                <w:color w:val="000000"/>
                <w:sz w:val="20"/>
                <w:szCs w:val="20"/>
              </w:rPr>
              <w:t>序号</w:t>
            </w:r>
          </w:p>
        </w:tc>
        <w:tc>
          <w:tcPr>
            <w:tcW w:w="696" w:type="dxa"/>
            <w:vAlign w:val="center"/>
          </w:tcPr>
          <w:p w14:paraId="4DA14AA2">
            <w:pPr>
              <w:snapToGrid w:val="0"/>
              <w:spacing w:line="288" w:lineRule="auto"/>
              <w:jc w:val="center"/>
              <w:rPr>
                <w:b/>
                <w:color w:val="000000"/>
                <w:sz w:val="20"/>
                <w:szCs w:val="20"/>
              </w:rPr>
            </w:pPr>
            <w:r>
              <w:rPr>
                <w:rFonts w:hint="eastAsia"/>
                <w:b/>
                <w:color w:val="000000"/>
                <w:sz w:val="20"/>
                <w:szCs w:val="20"/>
              </w:rPr>
              <w:t>单元名称</w:t>
            </w:r>
          </w:p>
        </w:tc>
        <w:tc>
          <w:tcPr>
            <w:tcW w:w="3174" w:type="dxa"/>
            <w:vAlign w:val="center"/>
          </w:tcPr>
          <w:p w14:paraId="7B3FAD4B">
            <w:pPr>
              <w:snapToGrid w:val="0"/>
              <w:spacing w:line="288" w:lineRule="auto"/>
              <w:jc w:val="center"/>
              <w:rPr>
                <w:b/>
                <w:color w:val="000000"/>
                <w:sz w:val="20"/>
                <w:szCs w:val="20"/>
              </w:rPr>
            </w:pPr>
            <w:r>
              <w:rPr>
                <w:rFonts w:hint="eastAsia"/>
                <w:b/>
                <w:color w:val="000000"/>
                <w:sz w:val="20"/>
                <w:szCs w:val="20"/>
              </w:rPr>
              <w:t>知识目标</w:t>
            </w:r>
          </w:p>
        </w:tc>
        <w:tc>
          <w:tcPr>
            <w:tcW w:w="2410" w:type="dxa"/>
            <w:vAlign w:val="center"/>
          </w:tcPr>
          <w:p w14:paraId="6CC96BE9">
            <w:pPr>
              <w:snapToGrid w:val="0"/>
              <w:spacing w:line="288" w:lineRule="auto"/>
              <w:jc w:val="center"/>
              <w:rPr>
                <w:b/>
                <w:color w:val="000000"/>
                <w:sz w:val="20"/>
                <w:szCs w:val="20"/>
              </w:rPr>
            </w:pPr>
            <w:r>
              <w:rPr>
                <w:rFonts w:hint="eastAsia"/>
                <w:b/>
                <w:color w:val="000000"/>
                <w:sz w:val="20"/>
                <w:szCs w:val="20"/>
              </w:rPr>
              <w:t>技能目标</w:t>
            </w:r>
          </w:p>
        </w:tc>
        <w:tc>
          <w:tcPr>
            <w:tcW w:w="1488" w:type="dxa"/>
            <w:vAlign w:val="center"/>
          </w:tcPr>
          <w:p w14:paraId="508916E8">
            <w:pPr>
              <w:snapToGrid w:val="0"/>
              <w:spacing w:line="288" w:lineRule="auto"/>
              <w:jc w:val="center"/>
              <w:rPr>
                <w:b/>
                <w:color w:val="000000"/>
                <w:sz w:val="20"/>
                <w:szCs w:val="20"/>
              </w:rPr>
            </w:pPr>
            <w:r>
              <w:rPr>
                <w:rFonts w:hint="eastAsia"/>
                <w:b/>
                <w:color w:val="000000"/>
                <w:sz w:val="20"/>
                <w:szCs w:val="20"/>
              </w:rPr>
              <w:t>素质目标</w:t>
            </w:r>
          </w:p>
        </w:tc>
        <w:tc>
          <w:tcPr>
            <w:tcW w:w="1276" w:type="dxa"/>
            <w:vAlign w:val="center"/>
          </w:tcPr>
          <w:p w14:paraId="2C1F44C4">
            <w:pPr>
              <w:snapToGrid w:val="0"/>
              <w:spacing w:line="288" w:lineRule="auto"/>
              <w:jc w:val="center"/>
              <w:rPr>
                <w:b/>
                <w:color w:val="000000"/>
                <w:sz w:val="20"/>
                <w:szCs w:val="20"/>
              </w:rPr>
            </w:pPr>
            <w:r>
              <w:rPr>
                <w:rFonts w:hint="eastAsia"/>
                <w:b/>
                <w:color w:val="000000"/>
                <w:sz w:val="20"/>
                <w:szCs w:val="20"/>
              </w:rPr>
              <w:t>教学难点</w:t>
            </w:r>
          </w:p>
        </w:tc>
      </w:tr>
      <w:tr w14:paraId="6941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E48BF1B">
            <w:pPr>
              <w:rPr>
                <w:sz w:val="21"/>
                <w:szCs w:val="21"/>
              </w:rPr>
            </w:pPr>
            <w:r>
              <w:rPr>
                <w:rFonts w:hint="eastAsia"/>
                <w:sz w:val="21"/>
                <w:szCs w:val="21"/>
              </w:rPr>
              <w:t>1</w:t>
            </w:r>
          </w:p>
        </w:tc>
        <w:tc>
          <w:tcPr>
            <w:tcW w:w="696" w:type="dxa"/>
            <w:vAlign w:val="center"/>
          </w:tcPr>
          <w:p w14:paraId="6EFC7E0D">
            <w:pPr>
              <w:rPr>
                <w:sz w:val="21"/>
                <w:szCs w:val="21"/>
              </w:rPr>
            </w:pPr>
            <w:r>
              <w:rPr>
                <w:rFonts w:hint="eastAsia"/>
                <w:sz w:val="21"/>
                <w:szCs w:val="21"/>
              </w:rPr>
              <w:t>环境</w:t>
            </w:r>
          </w:p>
        </w:tc>
        <w:tc>
          <w:tcPr>
            <w:tcW w:w="3174" w:type="dxa"/>
          </w:tcPr>
          <w:p w14:paraId="43EB4E79">
            <w:pPr>
              <w:rPr>
                <w:sz w:val="21"/>
                <w:szCs w:val="21"/>
              </w:rPr>
            </w:pPr>
            <w:r>
              <w:rPr>
                <w:rFonts w:hint="eastAsia"/>
                <w:sz w:val="21"/>
                <w:szCs w:val="21"/>
              </w:rPr>
              <w:t xml:space="preserve">1.知道环境的概念，环境的分类。 </w:t>
            </w:r>
          </w:p>
          <w:p w14:paraId="77D834B0">
            <w:pPr>
              <w:rPr>
                <w:sz w:val="21"/>
                <w:szCs w:val="21"/>
              </w:rPr>
            </w:pPr>
            <w:r>
              <w:rPr>
                <w:rFonts w:hint="eastAsia"/>
                <w:sz w:val="21"/>
                <w:szCs w:val="21"/>
              </w:rPr>
              <w:t xml:space="preserve">2.知道环境因素对健康的影响。 </w:t>
            </w:r>
          </w:p>
          <w:p w14:paraId="2B7953B5">
            <w:pPr>
              <w:rPr>
                <w:sz w:val="21"/>
                <w:szCs w:val="21"/>
              </w:rPr>
            </w:pPr>
            <w:r>
              <w:rPr>
                <w:rFonts w:hint="eastAsia"/>
                <w:sz w:val="21"/>
                <w:szCs w:val="21"/>
              </w:rPr>
              <w:t xml:space="preserve">3.知道医院环境的分类。 </w:t>
            </w:r>
          </w:p>
          <w:p w14:paraId="351F998B">
            <w:pPr>
              <w:rPr>
                <w:sz w:val="21"/>
                <w:szCs w:val="21"/>
              </w:rPr>
            </w:pPr>
            <w:r>
              <w:rPr>
                <w:rFonts w:hint="eastAsia"/>
                <w:sz w:val="21"/>
                <w:szCs w:val="21"/>
              </w:rPr>
              <w:t xml:space="preserve">4.知道良好的医院环境应具备的特点。 </w:t>
            </w:r>
          </w:p>
          <w:p w14:paraId="01AA6F4A">
            <w:pPr>
              <w:rPr>
                <w:sz w:val="21"/>
                <w:szCs w:val="21"/>
              </w:rPr>
            </w:pPr>
            <w:r>
              <w:rPr>
                <w:rFonts w:hint="eastAsia"/>
                <w:sz w:val="21"/>
                <w:szCs w:val="21"/>
              </w:rPr>
              <w:t xml:space="preserve">5.知道医院环境调控的有关要素。 </w:t>
            </w:r>
          </w:p>
          <w:p w14:paraId="1E5DDA9C">
            <w:pPr>
              <w:rPr>
                <w:sz w:val="21"/>
                <w:szCs w:val="21"/>
              </w:rPr>
            </w:pPr>
            <w:r>
              <w:rPr>
                <w:rFonts w:hint="eastAsia"/>
                <w:sz w:val="21"/>
                <w:szCs w:val="21"/>
              </w:rPr>
              <w:t xml:space="preserve">6.理解健康、护理与环境的关系。  </w:t>
            </w:r>
          </w:p>
        </w:tc>
        <w:tc>
          <w:tcPr>
            <w:tcW w:w="2410" w:type="dxa"/>
          </w:tcPr>
          <w:p w14:paraId="54BEB020">
            <w:pPr>
              <w:rPr>
                <w:sz w:val="21"/>
                <w:szCs w:val="21"/>
              </w:rPr>
            </w:pPr>
            <w:r>
              <w:rPr>
                <w:rFonts w:hint="eastAsia"/>
                <w:sz w:val="21"/>
                <w:szCs w:val="21"/>
              </w:rPr>
              <w:t>1.能正确运用本章知识，评价医院环境的科学性和合理性。为病人创造安全、舒适的治疗环境。</w:t>
            </w:r>
          </w:p>
          <w:p w14:paraId="4239CC3B">
            <w:pPr>
              <w:rPr>
                <w:sz w:val="21"/>
                <w:szCs w:val="21"/>
              </w:rPr>
            </w:pPr>
            <w:r>
              <w:rPr>
                <w:rFonts w:hint="eastAsia"/>
                <w:sz w:val="21"/>
                <w:szCs w:val="21"/>
              </w:rPr>
              <w:t>2.能正确根据患者的实际情况为其调控医院环境。</w:t>
            </w:r>
          </w:p>
        </w:tc>
        <w:tc>
          <w:tcPr>
            <w:tcW w:w="1488" w:type="dxa"/>
          </w:tcPr>
          <w:p w14:paraId="264AFC96">
            <w:pPr>
              <w:rPr>
                <w:sz w:val="21"/>
                <w:szCs w:val="21"/>
              </w:rPr>
            </w:pPr>
            <w:r>
              <w:rPr>
                <w:rFonts w:hint="eastAsia"/>
                <w:sz w:val="21"/>
                <w:szCs w:val="21"/>
              </w:rPr>
              <w:t>1.能应用批判性思维，为患者创造安全、舒适的治疗环境。</w:t>
            </w:r>
          </w:p>
          <w:p w14:paraId="67B4B17F">
            <w:pPr>
              <w:rPr>
                <w:sz w:val="21"/>
                <w:szCs w:val="21"/>
              </w:rPr>
            </w:pPr>
            <w:r>
              <w:rPr>
                <w:rFonts w:hint="eastAsia"/>
                <w:sz w:val="21"/>
                <w:szCs w:val="21"/>
              </w:rPr>
              <w:t xml:space="preserve">2.具备人文关怀素质，树立关爱生命、全心全意为护理对象健康服务的精神。 </w:t>
            </w:r>
          </w:p>
        </w:tc>
        <w:tc>
          <w:tcPr>
            <w:tcW w:w="1276" w:type="dxa"/>
          </w:tcPr>
          <w:p w14:paraId="0148A80A">
            <w:pPr>
              <w:rPr>
                <w:sz w:val="21"/>
                <w:szCs w:val="21"/>
              </w:rPr>
            </w:pPr>
            <w:r>
              <w:rPr>
                <w:rFonts w:hint="eastAsia"/>
                <w:sz w:val="21"/>
                <w:szCs w:val="21"/>
              </w:rPr>
              <w:t xml:space="preserve">1.环境因素对健康的影响。 </w:t>
            </w:r>
          </w:p>
          <w:p w14:paraId="140A3F86">
            <w:pPr>
              <w:rPr>
                <w:sz w:val="21"/>
                <w:szCs w:val="21"/>
              </w:rPr>
            </w:pPr>
            <w:r>
              <w:rPr>
                <w:rFonts w:hint="eastAsia"/>
                <w:sz w:val="21"/>
                <w:szCs w:val="21"/>
              </w:rPr>
              <w:t>2.医院环境的调控。</w:t>
            </w:r>
          </w:p>
        </w:tc>
      </w:tr>
      <w:tr w14:paraId="4ECB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A6A6A1B">
            <w:pPr>
              <w:rPr>
                <w:sz w:val="21"/>
                <w:szCs w:val="21"/>
              </w:rPr>
            </w:pPr>
            <w:r>
              <w:rPr>
                <w:rFonts w:hint="eastAsia"/>
                <w:sz w:val="21"/>
                <w:szCs w:val="21"/>
              </w:rPr>
              <w:t>2</w:t>
            </w:r>
          </w:p>
        </w:tc>
        <w:tc>
          <w:tcPr>
            <w:tcW w:w="696" w:type="dxa"/>
            <w:vAlign w:val="center"/>
          </w:tcPr>
          <w:p w14:paraId="500874C1">
            <w:pPr>
              <w:rPr>
                <w:sz w:val="21"/>
                <w:szCs w:val="21"/>
              </w:rPr>
            </w:pPr>
            <w:bookmarkStart w:id="1" w:name="_Toc505244367"/>
            <w:r>
              <w:rPr>
                <w:rFonts w:hint="eastAsia"/>
                <w:sz w:val="21"/>
                <w:szCs w:val="21"/>
              </w:rPr>
              <w:t>预防与控制医院感染</w:t>
            </w:r>
            <w:bookmarkEnd w:id="1"/>
          </w:p>
        </w:tc>
        <w:tc>
          <w:tcPr>
            <w:tcW w:w="3174" w:type="dxa"/>
          </w:tcPr>
          <w:p w14:paraId="675D560E">
            <w:pPr>
              <w:rPr>
                <w:sz w:val="21"/>
                <w:szCs w:val="21"/>
              </w:rPr>
            </w:pPr>
            <w:r>
              <w:rPr>
                <w:rFonts w:hint="eastAsia"/>
                <w:sz w:val="21"/>
                <w:szCs w:val="21"/>
              </w:rPr>
              <w:t xml:space="preserve">1.知道医院感染的分类、形成原因及条件。 </w:t>
            </w:r>
          </w:p>
          <w:p w14:paraId="1162B26D">
            <w:pPr>
              <w:rPr>
                <w:sz w:val="21"/>
                <w:szCs w:val="21"/>
              </w:rPr>
            </w:pPr>
            <w:r>
              <w:rPr>
                <w:rFonts w:hint="eastAsia"/>
                <w:sz w:val="21"/>
                <w:szCs w:val="21"/>
              </w:rPr>
              <w:t xml:space="preserve">2.知道常用的消毒灭菌方法及注意事项。 </w:t>
            </w:r>
          </w:p>
          <w:p w14:paraId="4A32AB83">
            <w:pPr>
              <w:rPr>
                <w:sz w:val="21"/>
                <w:szCs w:val="21"/>
              </w:rPr>
            </w:pPr>
            <w:r>
              <w:rPr>
                <w:rFonts w:hint="eastAsia"/>
                <w:sz w:val="21"/>
                <w:szCs w:val="21"/>
              </w:rPr>
              <w:t xml:space="preserve">3.知道医院选择消毒灭菌方法的原则。 </w:t>
            </w:r>
          </w:p>
          <w:p w14:paraId="1CCA8217">
            <w:pPr>
              <w:rPr>
                <w:sz w:val="21"/>
                <w:szCs w:val="21"/>
              </w:rPr>
            </w:pPr>
            <w:r>
              <w:rPr>
                <w:rFonts w:hint="eastAsia"/>
                <w:sz w:val="21"/>
                <w:szCs w:val="21"/>
              </w:rPr>
              <w:t xml:space="preserve">4.知道无菌技术操作原则和隔离原则。 </w:t>
            </w:r>
          </w:p>
          <w:p w14:paraId="6EF070C2">
            <w:pPr>
              <w:rPr>
                <w:sz w:val="21"/>
                <w:szCs w:val="21"/>
              </w:rPr>
            </w:pPr>
            <w:r>
              <w:rPr>
                <w:rFonts w:hint="eastAsia"/>
                <w:sz w:val="21"/>
                <w:szCs w:val="21"/>
              </w:rPr>
              <w:t xml:space="preserve">5.理解医院感染、清洁、消毒、灭菌、手卫生、无菌技术、标准预防及隔离的概念。 </w:t>
            </w:r>
          </w:p>
          <w:p w14:paraId="6DEA8862">
            <w:pPr>
              <w:rPr>
                <w:sz w:val="21"/>
                <w:szCs w:val="21"/>
              </w:rPr>
            </w:pPr>
            <w:r>
              <w:rPr>
                <w:rFonts w:hint="eastAsia"/>
                <w:sz w:val="21"/>
                <w:szCs w:val="21"/>
              </w:rPr>
              <w:t xml:space="preserve">6.理解干热消毒灭 菌法与湿热消毒灭菌法的特点及差异。 </w:t>
            </w:r>
          </w:p>
          <w:p w14:paraId="0B7E7D36">
            <w:pPr>
              <w:rPr>
                <w:sz w:val="21"/>
                <w:szCs w:val="21"/>
              </w:rPr>
            </w:pPr>
            <w:r>
              <w:rPr>
                <w:rFonts w:hint="eastAsia"/>
                <w:sz w:val="21"/>
                <w:szCs w:val="21"/>
              </w:rPr>
              <w:t xml:space="preserve">7.理解医院日常清 洁、消毒、灭菌工作的主要内容。 </w:t>
            </w:r>
          </w:p>
          <w:p w14:paraId="5C698D8A">
            <w:pPr>
              <w:rPr>
                <w:sz w:val="21"/>
                <w:szCs w:val="21"/>
              </w:rPr>
            </w:pPr>
            <w:r>
              <w:rPr>
                <w:rFonts w:hint="eastAsia"/>
                <w:sz w:val="21"/>
                <w:szCs w:val="21"/>
              </w:rPr>
              <w:t>8.理解隔离区域的划分标准、医院不同病区的建筑布局与隔离要求。</w:t>
            </w:r>
          </w:p>
        </w:tc>
        <w:tc>
          <w:tcPr>
            <w:tcW w:w="2410" w:type="dxa"/>
          </w:tcPr>
          <w:p w14:paraId="2701C0DD">
            <w:pPr>
              <w:rPr>
                <w:sz w:val="21"/>
                <w:szCs w:val="21"/>
              </w:rPr>
            </w:pPr>
            <w:r>
              <w:rPr>
                <w:rFonts w:hint="eastAsia"/>
                <w:sz w:val="21"/>
                <w:szCs w:val="21"/>
              </w:rPr>
              <w:t xml:space="preserve">1.能采取适当的措施预防与控制医院感染。 </w:t>
            </w:r>
          </w:p>
          <w:p w14:paraId="6372BDC9">
            <w:pPr>
              <w:rPr>
                <w:sz w:val="21"/>
                <w:szCs w:val="21"/>
              </w:rPr>
            </w:pPr>
            <w:r>
              <w:rPr>
                <w:rFonts w:hint="eastAsia"/>
                <w:sz w:val="21"/>
                <w:szCs w:val="21"/>
              </w:rPr>
              <w:t xml:space="preserve">2.能选择合适的方法进行医院日常的清洁、消毒、灭菌。 </w:t>
            </w:r>
          </w:p>
          <w:p w14:paraId="2A2D5C55">
            <w:pPr>
              <w:rPr>
                <w:sz w:val="21"/>
                <w:szCs w:val="21"/>
              </w:rPr>
            </w:pPr>
            <w:r>
              <w:rPr>
                <w:rFonts w:hint="eastAsia"/>
                <w:sz w:val="21"/>
                <w:szCs w:val="21"/>
              </w:rPr>
              <w:t xml:space="preserve">3.能根据临床情境正确进行手卫生。 </w:t>
            </w:r>
          </w:p>
          <w:p w14:paraId="5B6F0E14">
            <w:pPr>
              <w:rPr>
                <w:sz w:val="21"/>
                <w:szCs w:val="21"/>
              </w:rPr>
            </w:pPr>
            <w:r>
              <w:rPr>
                <w:rFonts w:hint="eastAsia"/>
                <w:sz w:val="21"/>
                <w:szCs w:val="21"/>
              </w:rPr>
              <w:t xml:space="preserve">4.能遵循无菌技术操作原则完成无菌技术基本操作。 </w:t>
            </w:r>
          </w:p>
          <w:p w14:paraId="1CDBF61E">
            <w:pPr>
              <w:rPr>
                <w:sz w:val="21"/>
                <w:szCs w:val="21"/>
              </w:rPr>
            </w:pPr>
            <w:r>
              <w:rPr>
                <w:rFonts w:hint="eastAsia"/>
                <w:sz w:val="21"/>
                <w:szCs w:val="21"/>
              </w:rPr>
              <w:t>5.能遵循隔离原则完成隔离技术基本操作。</w:t>
            </w:r>
          </w:p>
        </w:tc>
        <w:tc>
          <w:tcPr>
            <w:tcW w:w="1488" w:type="dxa"/>
          </w:tcPr>
          <w:p w14:paraId="25FD388E">
            <w:pPr>
              <w:rPr>
                <w:sz w:val="21"/>
                <w:szCs w:val="21"/>
              </w:rPr>
            </w:pPr>
            <w:r>
              <w:rPr>
                <w:rFonts w:hint="eastAsia"/>
                <w:sz w:val="21"/>
                <w:szCs w:val="21"/>
              </w:rPr>
              <w:t xml:space="preserve">1. 能遵守预防与控制医院感染的相关法律法规、 行业标准和操作规范。 </w:t>
            </w:r>
          </w:p>
          <w:p w14:paraId="47F762F0">
            <w:pPr>
              <w:rPr>
                <w:sz w:val="21"/>
                <w:szCs w:val="21"/>
              </w:rPr>
            </w:pPr>
            <w:r>
              <w:rPr>
                <w:rFonts w:hint="eastAsia"/>
                <w:sz w:val="21"/>
                <w:szCs w:val="21"/>
              </w:rPr>
              <w:t xml:space="preserve">2.在预防与控制医院感染的组织管理和具体措施中，具有专业精神、慎独修养、严谨求实的工作态度。 </w:t>
            </w:r>
          </w:p>
          <w:p w14:paraId="4A7C509C">
            <w:pPr>
              <w:rPr>
                <w:sz w:val="21"/>
                <w:szCs w:val="21"/>
              </w:rPr>
            </w:pPr>
            <w:r>
              <w:rPr>
                <w:rFonts w:hint="eastAsia"/>
                <w:sz w:val="21"/>
                <w:szCs w:val="21"/>
              </w:rPr>
              <w:t>3.初步形成成本效益观念。</w:t>
            </w:r>
          </w:p>
        </w:tc>
        <w:tc>
          <w:tcPr>
            <w:tcW w:w="1276" w:type="dxa"/>
          </w:tcPr>
          <w:p w14:paraId="4CBE1015">
            <w:pPr>
              <w:rPr>
                <w:sz w:val="21"/>
                <w:szCs w:val="21"/>
              </w:rPr>
            </w:pPr>
            <w:r>
              <w:rPr>
                <w:rFonts w:hint="eastAsia"/>
                <w:sz w:val="21"/>
                <w:szCs w:val="21"/>
              </w:rPr>
              <w:t xml:space="preserve">1.无菌技术操作原则和隔离原则。 </w:t>
            </w:r>
          </w:p>
          <w:p w14:paraId="1950E5CD">
            <w:pPr>
              <w:rPr>
                <w:sz w:val="21"/>
                <w:szCs w:val="21"/>
              </w:rPr>
            </w:pPr>
            <w:r>
              <w:rPr>
                <w:rFonts w:hint="eastAsia"/>
                <w:sz w:val="21"/>
                <w:szCs w:val="21"/>
              </w:rPr>
              <w:t xml:space="preserve">2.无菌技术基本操作。 </w:t>
            </w:r>
          </w:p>
          <w:p w14:paraId="4F68831B">
            <w:pPr>
              <w:rPr>
                <w:sz w:val="21"/>
                <w:szCs w:val="21"/>
              </w:rPr>
            </w:pPr>
            <w:r>
              <w:rPr>
                <w:rFonts w:hint="eastAsia"/>
                <w:sz w:val="21"/>
                <w:szCs w:val="21"/>
              </w:rPr>
              <w:t>3.隔离技术基本操作。</w:t>
            </w:r>
          </w:p>
        </w:tc>
      </w:tr>
      <w:tr w14:paraId="21E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60" w:type="dxa"/>
            <w:vAlign w:val="center"/>
          </w:tcPr>
          <w:p w14:paraId="2DC32B85">
            <w:pPr>
              <w:rPr>
                <w:sz w:val="21"/>
                <w:szCs w:val="21"/>
              </w:rPr>
            </w:pPr>
            <w:r>
              <w:rPr>
                <w:rFonts w:hint="eastAsia"/>
                <w:sz w:val="21"/>
                <w:szCs w:val="21"/>
              </w:rPr>
              <w:t>3</w:t>
            </w:r>
          </w:p>
        </w:tc>
        <w:tc>
          <w:tcPr>
            <w:tcW w:w="696" w:type="dxa"/>
            <w:vAlign w:val="center"/>
          </w:tcPr>
          <w:p w14:paraId="02B9C318">
            <w:pPr>
              <w:rPr>
                <w:sz w:val="21"/>
                <w:szCs w:val="21"/>
              </w:rPr>
            </w:pPr>
            <w:r>
              <w:rPr>
                <w:rFonts w:hint="eastAsia"/>
                <w:sz w:val="21"/>
                <w:szCs w:val="21"/>
              </w:rPr>
              <w:t>患者入院和出院的护理</w:t>
            </w:r>
          </w:p>
        </w:tc>
        <w:tc>
          <w:tcPr>
            <w:tcW w:w="3174" w:type="dxa"/>
          </w:tcPr>
          <w:p w14:paraId="54FB50B5">
            <w:pPr>
              <w:rPr>
                <w:sz w:val="21"/>
                <w:szCs w:val="21"/>
              </w:rPr>
            </w:pPr>
            <w:r>
              <w:rPr>
                <w:rFonts w:hint="eastAsia"/>
                <w:sz w:val="21"/>
                <w:szCs w:val="21"/>
              </w:rPr>
              <w:t xml:space="preserve">1.知道病人床单位所包含的固定设备。 </w:t>
            </w:r>
          </w:p>
          <w:p w14:paraId="35EDCB80">
            <w:pPr>
              <w:rPr>
                <w:sz w:val="21"/>
                <w:szCs w:val="21"/>
              </w:rPr>
            </w:pPr>
            <w:r>
              <w:rPr>
                <w:rFonts w:hint="eastAsia"/>
                <w:sz w:val="21"/>
                <w:szCs w:val="21"/>
              </w:rPr>
              <w:t xml:space="preserve">2.知道病人入院护理和出院护理的目的。 </w:t>
            </w:r>
          </w:p>
          <w:p w14:paraId="2478A1A1">
            <w:pPr>
              <w:rPr>
                <w:sz w:val="21"/>
                <w:szCs w:val="21"/>
              </w:rPr>
            </w:pPr>
            <w:r>
              <w:rPr>
                <w:rFonts w:hint="eastAsia"/>
                <w:sz w:val="21"/>
                <w:szCs w:val="21"/>
              </w:rPr>
              <w:t xml:space="preserve">3.知道病人入院程序。 </w:t>
            </w:r>
          </w:p>
          <w:p w14:paraId="3359AE12">
            <w:pPr>
              <w:rPr>
                <w:sz w:val="21"/>
                <w:szCs w:val="21"/>
              </w:rPr>
            </w:pPr>
            <w:r>
              <w:rPr>
                <w:rFonts w:hint="eastAsia"/>
                <w:sz w:val="21"/>
                <w:szCs w:val="21"/>
              </w:rPr>
              <w:t>4.知道临床上常用卧位的适用范围及临床意义。</w:t>
            </w:r>
          </w:p>
          <w:p w14:paraId="2239F854">
            <w:pPr>
              <w:rPr>
                <w:sz w:val="21"/>
                <w:szCs w:val="21"/>
              </w:rPr>
            </w:pPr>
            <w:r>
              <w:rPr>
                <w:rFonts w:hint="eastAsia"/>
                <w:sz w:val="21"/>
                <w:szCs w:val="21"/>
              </w:rPr>
              <w:t xml:space="preserve">5.知道舒适卧位的基本要求。 6.知道分级护理的级别、适用对象及相应的护理要点。 </w:t>
            </w:r>
          </w:p>
          <w:p w14:paraId="0583610A">
            <w:pPr>
              <w:rPr>
                <w:sz w:val="21"/>
                <w:szCs w:val="21"/>
              </w:rPr>
            </w:pPr>
            <w:r>
              <w:rPr>
                <w:rFonts w:hint="eastAsia"/>
                <w:sz w:val="21"/>
                <w:szCs w:val="21"/>
              </w:rPr>
              <w:t xml:space="preserve">7.理解分级护理的概念。 </w:t>
            </w:r>
          </w:p>
          <w:p w14:paraId="67F087C1">
            <w:pPr>
              <w:rPr>
                <w:sz w:val="21"/>
                <w:szCs w:val="21"/>
              </w:rPr>
            </w:pPr>
            <w:r>
              <w:rPr>
                <w:rFonts w:hint="eastAsia"/>
                <w:sz w:val="21"/>
                <w:szCs w:val="21"/>
              </w:rPr>
              <w:t xml:space="preserve">8.理解卧位的分类方法。 </w:t>
            </w:r>
          </w:p>
          <w:p w14:paraId="704131DD">
            <w:pPr>
              <w:rPr>
                <w:sz w:val="21"/>
                <w:szCs w:val="21"/>
              </w:rPr>
            </w:pPr>
            <w:r>
              <w:rPr>
                <w:rFonts w:hint="eastAsia"/>
                <w:sz w:val="21"/>
                <w:szCs w:val="21"/>
              </w:rPr>
              <w:t xml:space="preserve">9.理解变换卧位法的目的。 </w:t>
            </w:r>
          </w:p>
          <w:p w14:paraId="7CABF366">
            <w:pPr>
              <w:rPr>
                <w:sz w:val="21"/>
                <w:szCs w:val="21"/>
              </w:rPr>
            </w:pPr>
            <w:r>
              <w:rPr>
                <w:rFonts w:hint="eastAsia"/>
                <w:sz w:val="21"/>
                <w:szCs w:val="21"/>
              </w:rPr>
              <w:t xml:space="preserve">10.理解变换卧位法操作中的注意事项。 </w:t>
            </w:r>
          </w:p>
          <w:p w14:paraId="68A3308B">
            <w:pPr>
              <w:rPr>
                <w:sz w:val="21"/>
                <w:szCs w:val="21"/>
              </w:rPr>
            </w:pPr>
            <w:r>
              <w:rPr>
                <w:rFonts w:hint="eastAsia"/>
                <w:sz w:val="21"/>
                <w:szCs w:val="21"/>
              </w:rPr>
              <w:t>11.理解在护理工作中保证病人平衡与 稳定的措施。</w:t>
            </w:r>
          </w:p>
        </w:tc>
        <w:tc>
          <w:tcPr>
            <w:tcW w:w="2410" w:type="dxa"/>
          </w:tcPr>
          <w:p w14:paraId="75542E7E">
            <w:pPr>
              <w:rPr>
                <w:sz w:val="21"/>
                <w:szCs w:val="21"/>
              </w:rPr>
            </w:pPr>
            <w:r>
              <w:rPr>
                <w:rFonts w:hint="eastAsia"/>
                <w:sz w:val="21"/>
                <w:szCs w:val="21"/>
              </w:rPr>
              <w:t xml:space="preserve">1.能正确运用铺床方法为新病人、暂时离床病人、麻醉手术后病人或长期卧床病人准备安全、整洁、舒适的床单位。 </w:t>
            </w:r>
          </w:p>
          <w:p w14:paraId="159E899E">
            <w:pPr>
              <w:rPr>
                <w:sz w:val="21"/>
                <w:szCs w:val="21"/>
              </w:rPr>
            </w:pPr>
            <w:r>
              <w:rPr>
                <w:rFonts w:hint="eastAsia"/>
                <w:sz w:val="21"/>
                <w:szCs w:val="21"/>
              </w:rPr>
              <w:t xml:space="preserve">2.能根据病情、治疗和病人的实际需要，为其安置舒适卧位。 </w:t>
            </w:r>
          </w:p>
          <w:p w14:paraId="577AC2C7">
            <w:pPr>
              <w:rPr>
                <w:sz w:val="21"/>
                <w:szCs w:val="21"/>
              </w:rPr>
            </w:pPr>
            <w:r>
              <w:rPr>
                <w:rFonts w:hint="eastAsia"/>
                <w:sz w:val="21"/>
                <w:szCs w:val="21"/>
              </w:rPr>
              <w:t xml:space="preserve">3.能按正确的方法协助病人变换卧位。 </w:t>
            </w:r>
          </w:p>
          <w:p w14:paraId="5D3CF9B3">
            <w:pPr>
              <w:rPr>
                <w:sz w:val="21"/>
                <w:szCs w:val="21"/>
              </w:rPr>
            </w:pPr>
            <w:r>
              <w:rPr>
                <w:rFonts w:hint="eastAsia"/>
                <w:sz w:val="21"/>
                <w:szCs w:val="21"/>
              </w:rPr>
              <w:t xml:space="preserve">4.能正确使用轮椅或平车搬运不能行走、不能起床的病人入院、出院、检查、治疗或进行室外活动。 </w:t>
            </w:r>
          </w:p>
          <w:p w14:paraId="05C6E93B">
            <w:pPr>
              <w:rPr>
                <w:sz w:val="21"/>
                <w:szCs w:val="21"/>
              </w:rPr>
            </w:pPr>
            <w:r>
              <w:rPr>
                <w:rFonts w:hint="eastAsia"/>
                <w:sz w:val="21"/>
                <w:szCs w:val="21"/>
              </w:rPr>
              <w:t xml:space="preserve">5.在临床护理工作中，能正确运用人体力学原理减轻护士工作中力的付出。 </w:t>
            </w:r>
          </w:p>
          <w:p w14:paraId="074C4427">
            <w:pPr>
              <w:rPr>
                <w:sz w:val="21"/>
                <w:szCs w:val="21"/>
              </w:rPr>
            </w:pPr>
            <w:r>
              <w:rPr>
                <w:rFonts w:hint="eastAsia"/>
                <w:sz w:val="21"/>
                <w:szCs w:val="21"/>
              </w:rPr>
              <w:t>6.在临床护理工作中，能正确运用人体力学原理做到增进病人的舒适，促进其康复。</w:t>
            </w:r>
          </w:p>
        </w:tc>
        <w:tc>
          <w:tcPr>
            <w:tcW w:w="1488" w:type="dxa"/>
          </w:tcPr>
          <w:p w14:paraId="6D2348AD">
            <w:pPr>
              <w:rPr>
                <w:sz w:val="21"/>
                <w:szCs w:val="21"/>
              </w:rPr>
            </w:pPr>
            <w:r>
              <w:rPr>
                <w:rFonts w:hint="eastAsia"/>
                <w:sz w:val="21"/>
                <w:szCs w:val="21"/>
              </w:rPr>
              <w:t>1.能应用评判性思维， 根据护理对象的具体情况提供相应的护理，</w:t>
            </w:r>
          </w:p>
          <w:p w14:paraId="0A372F2C">
            <w:pPr>
              <w:rPr>
                <w:sz w:val="21"/>
                <w:szCs w:val="21"/>
              </w:rPr>
            </w:pPr>
            <w:r>
              <w:rPr>
                <w:rFonts w:hint="eastAsia"/>
                <w:sz w:val="21"/>
                <w:szCs w:val="21"/>
              </w:rPr>
              <w:t xml:space="preserve">2.具备人文关怀素养。树立关爱生 命、全心全意为护理对象服务 的精神。 </w:t>
            </w:r>
          </w:p>
          <w:p w14:paraId="6336A6A1">
            <w:pPr>
              <w:rPr>
                <w:sz w:val="21"/>
                <w:szCs w:val="21"/>
              </w:rPr>
            </w:pPr>
            <w:r>
              <w:rPr>
                <w:rFonts w:hint="eastAsia"/>
                <w:sz w:val="21"/>
                <w:szCs w:val="21"/>
              </w:rPr>
              <w:t xml:space="preserve"> </w:t>
            </w:r>
          </w:p>
        </w:tc>
        <w:tc>
          <w:tcPr>
            <w:tcW w:w="1276" w:type="dxa"/>
          </w:tcPr>
          <w:p w14:paraId="22F99DF2">
            <w:pPr>
              <w:rPr>
                <w:sz w:val="21"/>
                <w:szCs w:val="21"/>
              </w:rPr>
            </w:pPr>
            <w:r>
              <w:rPr>
                <w:rFonts w:hint="eastAsia"/>
                <w:sz w:val="21"/>
                <w:szCs w:val="21"/>
              </w:rPr>
              <w:t xml:space="preserve">1.临床上常用卧位的适用范围及临床意义。 </w:t>
            </w:r>
          </w:p>
          <w:p w14:paraId="41649562">
            <w:pPr>
              <w:rPr>
                <w:sz w:val="21"/>
                <w:szCs w:val="21"/>
              </w:rPr>
            </w:pPr>
            <w:r>
              <w:rPr>
                <w:rFonts w:hint="eastAsia"/>
                <w:sz w:val="21"/>
                <w:szCs w:val="21"/>
              </w:rPr>
              <w:t xml:space="preserve">2.铺床方法。 </w:t>
            </w:r>
          </w:p>
          <w:p w14:paraId="0B89312A">
            <w:pPr>
              <w:rPr>
                <w:sz w:val="21"/>
                <w:szCs w:val="21"/>
              </w:rPr>
            </w:pPr>
            <w:r>
              <w:rPr>
                <w:rFonts w:hint="eastAsia"/>
                <w:sz w:val="21"/>
                <w:szCs w:val="21"/>
              </w:rPr>
              <w:t>3.人体力学原理的运用。</w:t>
            </w:r>
          </w:p>
        </w:tc>
      </w:tr>
      <w:tr w14:paraId="2E91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9863AF7">
            <w:pPr>
              <w:rPr>
                <w:sz w:val="21"/>
                <w:szCs w:val="21"/>
              </w:rPr>
            </w:pPr>
            <w:r>
              <w:rPr>
                <w:rFonts w:hint="eastAsia"/>
                <w:sz w:val="21"/>
                <w:szCs w:val="21"/>
              </w:rPr>
              <w:t>4</w:t>
            </w:r>
          </w:p>
        </w:tc>
        <w:tc>
          <w:tcPr>
            <w:tcW w:w="696" w:type="dxa"/>
            <w:vAlign w:val="center"/>
          </w:tcPr>
          <w:p w14:paraId="441DC8A7">
            <w:pPr>
              <w:rPr>
                <w:sz w:val="21"/>
                <w:szCs w:val="21"/>
              </w:rPr>
            </w:pPr>
            <w:r>
              <w:rPr>
                <w:rFonts w:hint="eastAsia"/>
                <w:sz w:val="21"/>
                <w:szCs w:val="21"/>
              </w:rPr>
              <w:t>患者的安全与护士的职业防护</w:t>
            </w:r>
          </w:p>
          <w:p w14:paraId="3E5E3CF0">
            <w:pPr>
              <w:rPr>
                <w:sz w:val="21"/>
                <w:szCs w:val="21"/>
              </w:rPr>
            </w:pPr>
          </w:p>
        </w:tc>
        <w:tc>
          <w:tcPr>
            <w:tcW w:w="3174" w:type="dxa"/>
          </w:tcPr>
          <w:p w14:paraId="54E88173">
            <w:pPr>
              <w:rPr>
                <w:sz w:val="21"/>
                <w:szCs w:val="21"/>
              </w:rPr>
            </w:pPr>
            <w:r>
              <w:rPr>
                <w:rFonts w:hint="eastAsia"/>
                <w:sz w:val="21"/>
                <w:szCs w:val="21"/>
              </w:rPr>
              <w:t xml:space="preserve">1.知道影响病人安全的因素。 </w:t>
            </w:r>
          </w:p>
          <w:p w14:paraId="3FF5F560">
            <w:pPr>
              <w:rPr>
                <w:sz w:val="21"/>
                <w:szCs w:val="21"/>
              </w:rPr>
            </w:pPr>
            <w:r>
              <w:rPr>
                <w:rFonts w:hint="eastAsia"/>
                <w:sz w:val="21"/>
                <w:szCs w:val="21"/>
              </w:rPr>
              <w:t xml:space="preserve">2.知道保护具、辅助 器使用的目的及操 作中的注意事项。 </w:t>
            </w:r>
          </w:p>
          <w:p w14:paraId="3EF1CE18">
            <w:pPr>
              <w:rPr>
                <w:sz w:val="21"/>
                <w:szCs w:val="21"/>
              </w:rPr>
            </w:pPr>
            <w:r>
              <w:rPr>
                <w:rFonts w:hint="eastAsia"/>
                <w:sz w:val="21"/>
                <w:szCs w:val="21"/>
              </w:rPr>
              <w:t xml:space="preserve">3.知道职业暴露的有害因素及对人体的影响。 </w:t>
            </w:r>
          </w:p>
          <w:p w14:paraId="61AFB7A9">
            <w:pPr>
              <w:rPr>
                <w:sz w:val="21"/>
                <w:szCs w:val="21"/>
              </w:rPr>
            </w:pPr>
            <w:r>
              <w:rPr>
                <w:rFonts w:hint="eastAsia"/>
                <w:sz w:val="21"/>
                <w:szCs w:val="21"/>
              </w:rPr>
              <w:t>4.知道护理职业防护的管理。</w:t>
            </w:r>
          </w:p>
          <w:p w14:paraId="21A6EE35">
            <w:pPr>
              <w:rPr>
                <w:sz w:val="21"/>
                <w:szCs w:val="21"/>
              </w:rPr>
            </w:pPr>
            <w:r>
              <w:rPr>
                <w:rFonts w:hint="eastAsia"/>
                <w:sz w:val="21"/>
                <w:szCs w:val="21"/>
              </w:rPr>
              <w:t xml:space="preserve">5.理解安全环境、保护具、职业暴露、护理职业暴露、职业防 护、护理职业防护、 标准预防及护理职业风险的概念。 </w:t>
            </w:r>
          </w:p>
          <w:p w14:paraId="71AA5BE4">
            <w:pPr>
              <w:rPr>
                <w:sz w:val="21"/>
                <w:szCs w:val="21"/>
              </w:rPr>
            </w:pPr>
            <w:r>
              <w:rPr>
                <w:rFonts w:hint="eastAsia"/>
                <w:sz w:val="21"/>
                <w:szCs w:val="21"/>
              </w:rPr>
              <w:t xml:space="preserve">6.理解医院常见的 不安全因素。 </w:t>
            </w:r>
          </w:p>
          <w:p w14:paraId="06F17BB4">
            <w:pPr>
              <w:rPr>
                <w:sz w:val="21"/>
                <w:szCs w:val="21"/>
              </w:rPr>
            </w:pPr>
            <w:r>
              <w:rPr>
                <w:rFonts w:hint="eastAsia"/>
                <w:sz w:val="21"/>
                <w:szCs w:val="21"/>
              </w:rPr>
              <w:t xml:space="preserve">7.理解血源性病原体职业暴露、锐器伤、化疗药物职业暴 露及汞泄漏产生的原因及预防措施。 </w:t>
            </w:r>
          </w:p>
          <w:p w14:paraId="193C0817">
            <w:pPr>
              <w:rPr>
                <w:sz w:val="21"/>
                <w:szCs w:val="21"/>
              </w:rPr>
            </w:pPr>
            <w:r>
              <w:rPr>
                <w:rFonts w:hint="eastAsia"/>
                <w:sz w:val="21"/>
                <w:szCs w:val="21"/>
              </w:rPr>
              <w:t>8.理解护理职业防护的意义。</w:t>
            </w:r>
          </w:p>
        </w:tc>
        <w:tc>
          <w:tcPr>
            <w:tcW w:w="2410" w:type="dxa"/>
          </w:tcPr>
          <w:p w14:paraId="6078D909">
            <w:pPr>
              <w:rPr>
                <w:sz w:val="21"/>
                <w:szCs w:val="21"/>
              </w:rPr>
            </w:pPr>
            <w:r>
              <w:rPr>
                <w:rFonts w:hint="eastAsia"/>
                <w:sz w:val="21"/>
                <w:szCs w:val="21"/>
              </w:rPr>
              <w:t xml:space="preserve">1.能针对医院内常见的不安全因素，采取有效的防范措施。 </w:t>
            </w:r>
          </w:p>
          <w:p w14:paraId="75E1796B">
            <w:pPr>
              <w:rPr>
                <w:sz w:val="21"/>
                <w:szCs w:val="21"/>
              </w:rPr>
            </w:pPr>
            <w:r>
              <w:rPr>
                <w:rFonts w:hint="eastAsia"/>
                <w:sz w:val="21"/>
                <w:szCs w:val="21"/>
              </w:rPr>
              <w:t xml:space="preserve">2.能根据病人的病情及需要，正确选择和科学使用各种保护具及辅助器具，保证病人安全。 </w:t>
            </w:r>
          </w:p>
          <w:p w14:paraId="37CD3D91">
            <w:pPr>
              <w:rPr>
                <w:sz w:val="21"/>
                <w:szCs w:val="21"/>
              </w:rPr>
            </w:pPr>
            <w:r>
              <w:rPr>
                <w:rFonts w:hint="eastAsia"/>
                <w:sz w:val="21"/>
                <w:szCs w:val="21"/>
              </w:rPr>
              <w:t xml:space="preserve">3.能根据病人的病情，在护理工作中采取标准预防措施。 </w:t>
            </w:r>
          </w:p>
          <w:p w14:paraId="0B2C1234">
            <w:pPr>
              <w:rPr>
                <w:sz w:val="21"/>
                <w:szCs w:val="21"/>
              </w:rPr>
            </w:pPr>
            <w:r>
              <w:rPr>
                <w:rFonts w:hint="eastAsia"/>
                <w:sz w:val="21"/>
                <w:szCs w:val="21"/>
              </w:rPr>
              <w:t xml:space="preserve">4.能根据锐器伤的情况，正确处理锐器伤，并采取有效的、针对性的防护措施。 </w:t>
            </w:r>
          </w:p>
          <w:p w14:paraId="2F4A37D3">
            <w:pPr>
              <w:rPr>
                <w:sz w:val="21"/>
                <w:szCs w:val="21"/>
              </w:rPr>
            </w:pPr>
            <w:r>
              <w:rPr>
                <w:rFonts w:hint="eastAsia"/>
                <w:sz w:val="21"/>
                <w:szCs w:val="21"/>
              </w:rPr>
              <w:t>5.能根据要求配制化疗药物，并采取有效的护理 防护措施。</w:t>
            </w:r>
          </w:p>
          <w:p w14:paraId="554360A0">
            <w:pPr>
              <w:rPr>
                <w:sz w:val="21"/>
                <w:szCs w:val="21"/>
              </w:rPr>
            </w:pPr>
            <w:r>
              <w:rPr>
                <w:rFonts w:hint="eastAsia"/>
                <w:sz w:val="21"/>
                <w:szCs w:val="21"/>
              </w:rPr>
              <w:t>6.能正确评估化疗药物暴露情况，化疗药物暴露后能采取正确的处理措施。</w:t>
            </w:r>
          </w:p>
          <w:p w14:paraId="6DBDE960">
            <w:pPr>
              <w:rPr>
                <w:sz w:val="21"/>
                <w:szCs w:val="21"/>
              </w:rPr>
            </w:pPr>
            <w:r>
              <w:rPr>
                <w:rFonts w:hint="eastAsia"/>
                <w:sz w:val="21"/>
                <w:szCs w:val="21"/>
              </w:rPr>
              <w:t>7.能针对汞泄漏情况，采取有效的防护措施。</w:t>
            </w:r>
          </w:p>
          <w:p w14:paraId="1D1E676A">
            <w:pPr>
              <w:rPr>
                <w:sz w:val="21"/>
                <w:szCs w:val="21"/>
              </w:rPr>
            </w:pPr>
            <w:r>
              <w:rPr>
                <w:rFonts w:hint="eastAsia"/>
                <w:sz w:val="21"/>
                <w:szCs w:val="21"/>
              </w:rPr>
              <w:t>8.能根据汞泄漏情况，正确处理汞泄漏。</w:t>
            </w:r>
          </w:p>
        </w:tc>
        <w:tc>
          <w:tcPr>
            <w:tcW w:w="1488" w:type="dxa"/>
          </w:tcPr>
          <w:p w14:paraId="3AE63E2C">
            <w:pPr>
              <w:rPr>
                <w:sz w:val="21"/>
                <w:szCs w:val="21"/>
              </w:rPr>
            </w:pPr>
            <w:r>
              <w:rPr>
                <w:rFonts w:hint="eastAsia"/>
                <w:sz w:val="21"/>
                <w:szCs w:val="21"/>
              </w:rPr>
              <w:t>1，能自觉遵守患者安 全、职业安 全相关制度，树立依法行护、严谨求实的工 作态度。</w:t>
            </w:r>
          </w:p>
          <w:p w14:paraId="51AE06E9">
            <w:pPr>
              <w:rPr>
                <w:sz w:val="21"/>
                <w:szCs w:val="21"/>
              </w:rPr>
            </w:pPr>
            <w:r>
              <w:rPr>
                <w:rFonts w:hint="eastAsia"/>
                <w:sz w:val="21"/>
                <w:szCs w:val="21"/>
              </w:rPr>
              <w:t>2，能以患者为中心，具有安全意识，在护理工作中既要做好自身防护，也要 确保患者的安全。</w:t>
            </w:r>
          </w:p>
          <w:p w14:paraId="54E76E57">
            <w:pPr>
              <w:rPr>
                <w:sz w:val="21"/>
                <w:szCs w:val="21"/>
              </w:rPr>
            </w:pPr>
            <w:r>
              <w:rPr>
                <w:rFonts w:hint="eastAsia"/>
                <w:sz w:val="21"/>
                <w:szCs w:val="21"/>
              </w:rPr>
              <w:t xml:space="preserve"> </w:t>
            </w:r>
          </w:p>
        </w:tc>
        <w:tc>
          <w:tcPr>
            <w:tcW w:w="1276" w:type="dxa"/>
          </w:tcPr>
          <w:p w14:paraId="221FD658">
            <w:pPr>
              <w:rPr>
                <w:sz w:val="21"/>
                <w:szCs w:val="21"/>
              </w:rPr>
            </w:pPr>
            <w:r>
              <w:rPr>
                <w:rFonts w:hint="eastAsia"/>
                <w:sz w:val="21"/>
                <w:szCs w:val="21"/>
              </w:rPr>
              <w:t xml:space="preserve">1.血源性病原体职业暴露、锐器伤、 化疗药物职业暴露及汞泄漏产生的原因及预防措施。 </w:t>
            </w:r>
          </w:p>
          <w:p w14:paraId="41E6C63F">
            <w:pPr>
              <w:rPr>
                <w:sz w:val="21"/>
                <w:szCs w:val="21"/>
              </w:rPr>
            </w:pPr>
            <w:r>
              <w:rPr>
                <w:rFonts w:hint="eastAsia"/>
                <w:sz w:val="21"/>
                <w:szCs w:val="21"/>
              </w:rPr>
              <w:t>2.各种保护具及辅助器具的选择及使用。</w:t>
            </w:r>
          </w:p>
        </w:tc>
      </w:tr>
      <w:tr w14:paraId="27B4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5B729565">
            <w:pPr>
              <w:rPr>
                <w:sz w:val="21"/>
                <w:szCs w:val="21"/>
              </w:rPr>
            </w:pPr>
            <w:r>
              <w:rPr>
                <w:rFonts w:hint="eastAsia"/>
                <w:sz w:val="21"/>
                <w:szCs w:val="21"/>
              </w:rPr>
              <w:t>5</w:t>
            </w:r>
          </w:p>
        </w:tc>
        <w:tc>
          <w:tcPr>
            <w:tcW w:w="696" w:type="dxa"/>
            <w:vAlign w:val="center"/>
          </w:tcPr>
          <w:p w14:paraId="0F8370CB">
            <w:pPr>
              <w:rPr>
                <w:sz w:val="21"/>
                <w:szCs w:val="21"/>
              </w:rPr>
            </w:pPr>
            <w:r>
              <w:rPr>
                <w:rFonts w:hint="eastAsia"/>
                <w:sz w:val="21"/>
                <w:szCs w:val="21"/>
              </w:rPr>
              <w:t>患者的清洁卫生</w:t>
            </w:r>
          </w:p>
          <w:p w14:paraId="4A3FCE39">
            <w:pPr>
              <w:rPr>
                <w:sz w:val="21"/>
                <w:szCs w:val="21"/>
              </w:rPr>
            </w:pPr>
          </w:p>
        </w:tc>
        <w:tc>
          <w:tcPr>
            <w:tcW w:w="3174" w:type="dxa"/>
          </w:tcPr>
          <w:p w14:paraId="5573C766">
            <w:pPr>
              <w:rPr>
                <w:sz w:val="21"/>
                <w:szCs w:val="21"/>
              </w:rPr>
            </w:pPr>
            <w:r>
              <w:rPr>
                <w:rFonts w:hint="eastAsia"/>
                <w:sz w:val="21"/>
                <w:szCs w:val="21"/>
              </w:rPr>
              <w:t xml:space="preserve">1.知道口腔护理、头发护理、皮肤护理及会阴部护理的评估内容。 </w:t>
            </w:r>
          </w:p>
          <w:p w14:paraId="1A063C80">
            <w:pPr>
              <w:rPr>
                <w:sz w:val="21"/>
                <w:szCs w:val="21"/>
              </w:rPr>
            </w:pPr>
            <w:r>
              <w:rPr>
                <w:rFonts w:hint="eastAsia"/>
                <w:sz w:val="21"/>
                <w:szCs w:val="21"/>
              </w:rPr>
              <w:t xml:space="preserve">2.知道特殊口腔护理、头发护理、皮肤护理及会阴部护理的目的和操作注意事项。 </w:t>
            </w:r>
          </w:p>
          <w:p w14:paraId="5E550881">
            <w:pPr>
              <w:rPr>
                <w:sz w:val="21"/>
                <w:szCs w:val="21"/>
              </w:rPr>
            </w:pPr>
            <w:r>
              <w:rPr>
                <w:rFonts w:hint="eastAsia"/>
                <w:sz w:val="21"/>
                <w:szCs w:val="21"/>
              </w:rPr>
              <w:t xml:space="preserve">3.知道常用的口腔护理溶液及其作用。 </w:t>
            </w:r>
          </w:p>
          <w:p w14:paraId="7A915D2B">
            <w:pPr>
              <w:rPr>
                <w:sz w:val="21"/>
                <w:szCs w:val="21"/>
              </w:rPr>
            </w:pPr>
            <w:r>
              <w:rPr>
                <w:rFonts w:hint="eastAsia"/>
                <w:sz w:val="21"/>
                <w:szCs w:val="21"/>
              </w:rPr>
              <w:t xml:space="preserve">4.知道压力性损伤发生的原因、高危人群及易患部位。 </w:t>
            </w:r>
          </w:p>
          <w:p w14:paraId="163C3698">
            <w:pPr>
              <w:rPr>
                <w:sz w:val="21"/>
                <w:szCs w:val="21"/>
              </w:rPr>
            </w:pPr>
            <w:r>
              <w:rPr>
                <w:rFonts w:hint="eastAsia"/>
                <w:sz w:val="21"/>
                <w:szCs w:val="21"/>
              </w:rPr>
              <w:t xml:space="preserve">5.知道晨晚间护理的目的和内容。 </w:t>
            </w:r>
          </w:p>
          <w:p w14:paraId="37107487">
            <w:pPr>
              <w:rPr>
                <w:sz w:val="21"/>
                <w:szCs w:val="21"/>
              </w:rPr>
            </w:pPr>
            <w:r>
              <w:rPr>
                <w:rFonts w:hint="eastAsia"/>
                <w:sz w:val="21"/>
                <w:szCs w:val="21"/>
              </w:rPr>
              <w:t xml:space="preserve">6.理解压力性损伤、剪切力的概念。 </w:t>
            </w:r>
          </w:p>
          <w:p w14:paraId="4606A47B">
            <w:pPr>
              <w:rPr>
                <w:sz w:val="21"/>
                <w:szCs w:val="21"/>
              </w:rPr>
            </w:pPr>
            <w:r>
              <w:rPr>
                <w:rFonts w:hint="eastAsia"/>
                <w:sz w:val="21"/>
                <w:szCs w:val="21"/>
              </w:rPr>
              <w:t xml:space="preserve">7.理解压力性损伤发生的高危人群及预防措施。 </w:t>
            </w:r>
          </w:p>
          <w:p w14:paraId="207653AB">
            <w:pPr>
              <w:rPr>
                <w:sz w:val="21"/>
                <w:szCs w:val="21"/>
              </w:rPr>
            </w:pPr>
            <w:r>
              <w:rPr>
                <w:rFonts w:hint="eastAsia"/>
                <w:sz w:val="21"/>
                <w:szCs w:val="21"/>
              </w:rPr>
              <w:t xml:space="preserve">8.理解压力性损伤各期的临床表现。 </w:t>
            </w:r>
          </w:p>
          <w:p w14:paraId="343424B0">
            <w:pPr>
              <w:rPr>
                <w:sz w:val="21"/>
                <w:szCs w:val="21"/>
              </w:rPr>
            </w:pPr>
            <w:r>
              <w:rPr>
                <w:rFonts w:hint="eastAsia"/>
                <w:sz w:val="21"/>
                <w:szCs w:val="21"/>
              </w:rPr>
              <w:t>9.理解预防压力性损伤的护理措施。</w:t>
            </w:r>
          </w:p>
        </w:tc>
        <w:tc>
          <w:tcPr>
            <w:tcW w:w="2410" w:type="dxa"/>
          </w:tcPr>
          <w:p w14:paraId="7C98EFC2">
            <w:pPr>
              <w:rPr>
                <w:sz w:val="21"/>
                <w:szCs w:val="21"/>
              </w:rPr>
            </w:pPr>
            <w:r>
              <w:rPr>
                <w:rFonts w:hint="eastAsia"/>
                <w:sz w:val="21"/>
                <w:szCs w:val="21"/>
              </w:rPr>
              <w:t xml:space="preserve">1.能正确使用口腔护理包为病人进行口腔护理、头发护理、皮肤护理、会阴部护理及晨晚间护理。 </w:t>
            </w:r>
          </w:p>
          <w:p w14:paraId="4CD0F614">
            <w:pPr>
              <w:rPr>
                <w:sz w:val="21"/>
                <w:szCs w:val="21"/>
              </w:rPr>
            </w:pPr>
            <w:r>
              <w:rPr>
                <w:rFonts w:hint="eastAsia"/>
                <w:sz w:val="21"/>
                <w:szCs w:val="21"/>
              </w:rPr>
              <w:t xml:space="preserve">2.能正确运用所学知识对病人进行各种清洁卫生的健康教育。 </w:t>
            </w:r>
          </w:p>
          <w:p w14:paraId="7E54363A">
            <w:pPr>
              <w:rPr>
                <w:sz w:val="21"/>
                <w:szCs w:val="21"/>
              </w:rPr>
            </w:pPr>
            <w:r>
              <w:rPr>
                <w:rFonts w:hint="eastAsia"/>
                <w:sz w:val="21"/>
                <w:szCs w:val="21"/>
              </w:rPr>
              <w:t>3.能正确指导病人采取有效措施预防压力性损伤的发生。</w:t>
            </w:r>
          </w:p>
          <w:p w14:paraId="5A508F2C">
            <w:pPr>
              <w:rPr>
                <w:sz w:val="21"/>
                <w:szCs w:val="21"/>
              </w:rPr>
            </w:pPr>
            <w:r>
              <w:rPr>
                <w:rFonts w:hint="eastAsia"/>
                <w:sz w:val="21"/>
                <w:szCs w:val="21"/>
              </w:rPr>
              <w:t>4.能运用所学知识，正确实施压力性损伤的治疗和护理措施。</w:t>
            </w:r>
          </w:p>
        </w:tc>
        <w:tc>
          <w:tcPr>
            <w:tcW w:w="1488" w:type="dxa"/>
          </w:tcPr>
          <w:p w14:paraId="56DDD91E">
            <w:pPr>
              <w:rPr>
                <w:sz w:val="21"/>
                <w:szCs w:val="21"/>
              </w:rPr>
            </w:pPr>
            <w:r>
              <w:rPr>
                <w:rFonts w:hint="eastAsia"/>
                <w:sz w:val="21"/>
                <w:szCs w:val="21"/>
              </w:rPr>
              <w:t>1.在临床工 作中能够以患者为中心，设身处地为患者着想，将爱伤观念融入清洁卫生护理工作。</w:t>
            </w:r>
          </w:p>
          <w:p w14:paraId="038FAC5C">
            <w:pPr>
              <w:rPr>
                <w:sz w:val="21"/>
                <w:szCs w:val="21"/>
              </w:rPr>
            </w:pPr>
            <w:r>
              <w:rPr>
                <w:rFonts w:hint="eastAsia"/>
                <w:sz w:val="21"/>
                <w:szCs w:val="21"/>
              </w:rPr>
              <w:t>2.在临床工 作中能够具有慎独精神，认真做好患者的清洁卫生工作。</w:t>
            </w:r>
          </w:p>
        </w:tc>
        <w:tc>
          <w:tcPr>
            <w:tcW w:w="1276" w:type="dxa"/>
          </w:tcPr>
          <w:p w14:paraId="2BB32428">
            <w:pPr>
              <w:rPr>
                <w:sz w:val="21"/>
                <w:szCs w:val="21"/>
              </w:rPr>
            </w:pPr>
            <w:r>
              <w:rPr>
                <w:rFonts w:hint="eastAsia"/>
                <w:sz w:val="21"/>
                <w:szCs w:val="21"/>
              </w:rPr>
              <w:t xml:space="preserve">1.特殊口腔 护理、头发护理、皮肤 护理及会阴部护理的目的和操作注意事项。 </w:t>
            </w:r>
          </w:p>
          <w:p w14:paraId="25FF0CD1">
            <w:pPr>
              <w:rPr>
                <w:sz w:val="21"/>
                <w:szCs w:val="21"/>
              </w:rPr>
            </w:pPr>
            <w:r>
              <w:rPr>
                <w:rFonts w:hint="eastAsia"/>
                <w:sz w:val="21"/>
                <w:szCs w:val="21"/>
              </w:rPr>
              <w:t>2.预防压力性损伤的护理措施。</w:t>
            </w:r>
          </w:p>
        </w:tc>
      </w:tr>
      <w:tr w14:paraId="5D51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8C773A2">
            <w:pPr>
              <w:rPr>
                <w:sz w:val="21"/>
                <w:szCs w:val="21"/>
              </w:rPr>
            </w:pPr>
            <w:r>
              <w:rPr>
                <w:rFonts w:hint="eastAsia"/>
                <w:sz w:val="21"/>
                <w:szCs w:val="21"/>
              </w:rPr>
              <w:t>6</w:t>
            </w:r>
          </w:p>
        </w:tc>
        <w:tc>
          <w:tcPr>
            <w:tcW w:w="696" w:type="dxa"/>
            <w:vAlign w:val="center"/>
          </w:tcPr>
          <w:p w14:paraId="2CC27EF1">
            <w:pPr>
              <w:rPr>
                <w:sz w:val="21"/>
                <w:szCs w:val="21"/>
              </w:rPr>
            </w:pPr>
            <w:r>
              <w:rPr>
                <w:rFonts w:hint="eastAsia"/>
                <w:sz w:val="21"/>
                <w:szCs w:val="21"/>
              </w:rPr>
              <w:t>休息与活动</w:t>
            </w:r>
          </w:p>
          <w:p w14:paraId="0831631E">
            <w:pPr>
              <w:rPr>
                <w:sz w:val="21"/>
                <w:szCs w:val="21"/>
              </w:rPr>
            </w:pPr>
          </w:p>
        </w:tc>
        <w:tc>
          <w:tcPr>
            <w:tcW w:w="3174" w:type="dxa"/>
          </w:tcPr>
          <w:p w14:paraId="61A66C2B">
            <w:pPr>
              <w:rPr>
                <w:sz w:val="21"/>
                <w:szCs w:val="21"/>
              </w:rPr>
            </w:pPr>
            <w:r>
              <w:rPr>
                <w:rFonts w:hint="eastAsia"/>
                <w:sz w:val="21"/>
                <w:szCs w:val="21"/>
              </w:rPr>
              <w:t xml:space="preserve">1.知道睡眠各时相的特点。 </w:t>
            </w:r>
          </w:p>
          <w:p w14:paraId="2B8625AA">
            <w:pPr>
              <w:rPr>
                <w:sz w:val="21"/>
                <w:szCs w:val="21"/>
              </w:rPr>
            </w:pPr>
            <w:r>
              <w:rPr>
                <w:rFonts w:hint="eastAsia"/>
                <w:sz w:val="21"/>
                <w:szCs w:val="21"/>
              </w:rPr>
              <w:t xml:space="preserve">2.知道失眠的原因及诊断标准。 </w:t>
            </w:r>
          </w:p>
          <w:p w14:paraId="616AC997">
            <w:pPr>
              <w:rPr>
                <w:sz w:val="21"/>
                <w:szCs w:val="21"/>
              </w:rPr>
            </w:pPr>
            <w:r>
              <w:rPr>
                <w:rFonts w:hint="eastAsia"/>
                <w:sz w:val="21"/>
                <w:szCs w:val="21"/>
              </w:rPr>
              <w:t xml:space="preserve">3.知道关节活动练习的目的。 </w:t>
            </w:r>
          </w:p>
          <w:p w14:paraId="6998C13E">
            <w:pPr>
              <w:rPr>
                <w:sz w:val="21"/>
                <w:szCs w:val="21"/>
              </w:rPr>
            </w:pPr>
            <w:r>
              <w:rPr>
                <w:rFonts w:hint="eastAsia"/>
                <w:sz w:val="21"/>
                <w:szCs w:val="21"/>
              </w:rPr>
              <w:t xml:space="preserve">4.理解休息的意义和条件。 </w:t>
            </w:r>
          </w:p>
          <w:p w14:paraId="03A5CB6E">
            <w:pPr>
              <w:rPr>
                <w:sz w:val="21"/>
                <w:szCs w:val="21"/>
              </w:rPr>
            </w:pPr>
            <w:r>
              <w:rPr>
                <w:rFonts w:hint="eastAsia"/>
                <w:sz w:val="21"/>
                <w:szCs w:val="21"/>
              </w:rPr>
              <w:t xml:space="preserve">5.理解个体对睡眠的需要。 </w:t>
            </w:r>
          </w:p>
          <w:p w14:paraId="735C81B7">
            <w:pPr>
              <w:rPr>
                <w:sz w:val="21"/>
                <w:szCs w:val="21"/>
              </w:rPr>
            </w:pPr>
            <w:r>
              <w:rPr>
                <w:rFonts w:hint="eastAsia"/>
                <w:sz w:val="21"/>
                <w:szCs w:val="21"/>
              </w:rPr>
              <w:t xml:space="preserve">6.理解影响睡眠的因素。 </w:t>
            </w:r>
          </w:p>
          <w:p w14:paraId="193D2AA6">
            <w:pPr>
              <w:rPr>
                <w:sz w:val="21"/>
                <w:szCs w:val="21"/>
              </w:rPr>
            </w:pPr>
            <w:r>
              <w:rPr>
                <w:rFonts w:hint="eastAsia"/>
                <w:sz w:val="21"/>
                <w:szCs w:val="21"/>
              </w:rPr>
              <w:t>7.理解住院病人睡眠的特点。</w:t>
            </w:r>
          </w:p>
          <w:p w14:paraId="449D3266">
            <w:pPr>
              <w:rPr>
                <w:sz w:val="21"/>
                <w:szCs w:val="21"/>
              </w:rPr>
            </w:pPr>
            <w:r>
              <w:rPr>
                <w:rFonts w:hint="eastAsia"/>
                <w:sz w:val="21"/>
                <w:szCs w:val="21"/>
              </w:rPr>
              <w:t xml:space="preserve">8.理解活动的意义。 </w:t>
            </w:r>
          </w:p>
          <w:p w14:paraId="3C849AA9">
            <w:pPr>
              <w:rPr>
                <w:sz w:val="21"/>
                <w:szCs w:val="21"/>
              </w:rPr>
            </w:pPr>
            <w:r>
              <w:rPr>
                <w:rFonts w:hint="eastAsia"/>
                <w:sz w:val="21"/>
                <w:szCs w:val="21"/>
              </w:rPr>
              <w:t xml:space="preserve">9.理解活动受限的原因及对机体的影响。 </w:t>
            </w:r>
          </w:p>
          <w:p w14:paraId="071457FA">
            <w:pPr>
              <w:rPr>
                <w:sz w:val="21"/>
                <w:szCs w:val="21"/>
              </w:rPr>
            </w:pPr>
            <w:r>
              <w:rPr>
                <w:rFonts w:hint="eastAsia"/>
                <w:sz w:val="21"/>
                <w:szCs w:val="21"/>
              </w:rPr>
              <w:t>10.理解病人的肌力和机体活动能力的级别。</w:t>
            </w:r>
          </w:p>
          <w:p w14:paraId="2B9A0FF4">
            <w:pPr>
              <w:rPr>
                <w:sz w:val="21"/>
                <w:szCs w:val="21"/>
              </w:rPr>
            </w:pPr>
          </w:p>
        </w:tc>
        <w:tc>
          <w:tcPr>
            <w:tcW w:w="2410" w:type="dxa"/>
          </w:tcPr>
          <w:p w14:paraId="4F29C245">
            <w:pPr>
              <w:rPr>
                <w:sz w:val="21"/>
                <w:szCs w:val="21"/>
              </w:rPr>
            </w:pPr>
            <w:r>
              <w:rPr>
                <w:rFonts w:hint="eastAsia"/>
                <w:sz w:val="21"/>
                <w:szCs w:val="21"/>
              </w:rPr>
              <w:t xml:space="preserve">1.能运用正确的方法收集病人的睡眠资料，并保证收集的资料全面、准确。 </w:t>
            </w:r>
          </w:p>
          <w:p w14:paraId="7C0320E5">
            <w:pPr>
              <w:rPr>
                <w:sz w:val="21"/>
                <w:szCs w:val="21"/>
              </w:rPr>
            </w:pPr>
            <w:r>
              <w:rPr>
                <w:rFonts w:hint="eastAsia"/>
                <w:sz w:val="21"/>
                <w:szCs w:val="21"/>
              </w:rPr>
              <w:t xml:space="preserve">2.能采取适当的护理措施协助病人休息。 </w:t>
            </w:r>
          </w:p>
          <w:p w14:paraId="78D9AA90">
            <w:pPr>
              <w:rPr>
                <w:sz w:val="21"/>
                <w:szCs w:val="21"/>
              </w:rPr>
            </w:pPr>
            <w:r>
              <w:rPr>
                <w:rFonts w:hint="eastAsia"/>
                <w:sz w:val="21"/>
                <w:szCs w:val="21"/>
              </w:rPr>
              <w:t xml:space="preserve">3.能采取有效的护理措施促进病人的睡眠。 </w:t>
            </w:r>
          </w:p>
          <w:p w14:paraId="75E4A7F4">
            <w:pPr>
              <w:rPr>
                <w:sz w:val="21"/>
                <w:szCs w:val="21"/>
              </w:rPr>
            </w:pPr>
            <w:r>
              <w:rPr>
                <w:rFonts w:hint="eastAsia"/>
                <w:sz w:val="21"/>
                <w:szCs w:val="21"/>
              </w:rPr>
              <w:t xml:space="preserve">4.能运用正确的方法评估病人的活动情况，并保证评估的内容全面、准确。 </w:t>
            </w:r>
          </w:p>
          <w:p w14:paraId="4E3725B6">
            <w:pPr>
              <w:rPr>
                <w:sz w:val="21"/>
                <w:szCs w:val="21"/>
              </w:rPr>
            </w:pPr>
            <w:r>
              <w:rPr>
                <w:rFonts w:hint="eastAsia"/>
                <w:sz w:val="21"/>
                <w:szCs w:val="21"/>
              </w:rPr>
              <w:t>5.能采取恰当、有效的护理措施协助病人活动。</w:t>
            </w:r>
          </w:p>
        </w:tc>
        <w:tc>
          <w:tcPr>
            <w:tcW w:w="1488" w:type="dxa"/>
          </w:tcPr>
          <w:p w14:paraId="449C82EE">
            <w:pPr>
              <w:rPr>
                <w:sz w:val="21"/>
                <w:szCs w:val="21"/>
              </w:rPr>
            </w:pPr>
            <w:r>
              <w:rPr>
                <w:rFonts w:hint="eastAsia"/>
                <w:sz w:val="21"/>
                <w:szCs w:val="21"/>
              </w:rPr>
              <w:t>1.在评估患 者的睡眠及活动过程中，能尊重患者的隐私和个体需要。</w:t>
            </w:r>
          </w:p>
          <w:p w14:paraId="68B581BA">
            <w:pPr>
              <w:rPr>
                <w:sz w:val="21"/>
                <w:szCs w:val="21"/>
              </w:rPr>
            </w:pPr>
            <w:r>
              <w:rPr>
                <w:rFonts w:hint="eastAsia"/>
                <w:sz w:val="21"/>
                <w:szCs w:val="21"/>
              </w:rPr>
              <w:t>2.采用有效的方式与患者进行沟通和交流，提高患者对休息与活动相关护理措施的依从性。</w:t>
            </w:r>
          </w:p>
        </w:tc>
        <w:tc>
          <w:tcPr>
            <w:tcW w:w="1276" w:type="dxa"/>
          </w:tcPr>
          <w:p w14:paraId="2214622D">
            <w:pPr>
              <w:rPr>
                <w:sz w:val="21"/>
                <w:szCs w:val="21"/>
              </w:rPr>
            </w:pPr>
            <w:r>
              <w:rPr>
                <w:rFonts w:hint="eastAsia"/>
                <w:sz w:val="21"/>
                <w:szCs w:val="21"/>
              </w:rPr>
              <w:t xml:space="preserve">1.促进病人 睡眠的护理措施。 </w:t>
            </w:r>
          </w:p>
          <w:p w14:paraId="061BC204">
            <w:pPr>
              <w:rPr>
                <w:sz w:val="21"/>
                <w:szCs w:val="21"/>
              </w:rPr>
            </w:pPr>
            <w:r>
              <w:rPr>
                <w:rFonts w:hint="eastAsia"/>
                <w:sz w:val="21"/>
                <w:szCs w:val="21"/>
              </w:rPr>
              <w:t>2.协助病人活动的护理措施。</w:t>
            </w:r>
          </w:p>
        </w:tc>
      </w:tr>
      <w:tr w14:paraId="0659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257190C">
            <w:pPr>
              <w:rPr>
                <w:sz w:val="21"/>
                <w:szCs w:val="21"/>
              </w:rPr>
            </w:pPr>
            <w:r>
              <w:rPr>
                <w:rFonts w:hint="eastAsia"/>
                <w:sz w:val="21"/>
                <w:szCs w:val="21"/>
              </w:rPr>
              <w:t>7</w:t>
            </w:r>
          </w:p>
        </w:tc>
        <w:tc>
          <w:tcPr>
            <w:tcW w:w="696" w:type="dxa"/>
            <w:vAlign w:val="center"/>
          </w:tcPr>
          <w:p w14:paraId="69515430">
            <w:pPr>
              <w:rPr>
                <w:sz w:val="21"/>
                <w:szCs w:val="21"/>
              </w:rPr>
            </w:pPr>
            <w:r>
              <w:rPr>
                <w:rFonts w:hint="eastAsia"/>
                <w:sz w:val="21"/>
                <w:szCs w:val="21"/>
              </w:rPr>
              <w:t>医疗与护理文件</w:t>
            </w:r>
          </w:p>
          <w:p w14:paraId="7F755AAB">
            <w:pPr>
              <w:rPr>
                <w:sz w:val="21"/>
                <w:szCs w:val="21"/>
              </w:rPr>
            </w:pPr>
          </w:p>
        </w:tc>
        <w:tc>
          <w:tcPr>
            <w:tcW w:w="3174" w:type="dxa"/>
          </w:tcPr>
          <w:p w14:paraId="3C17AEA1">
            <w:pPr>
              <w:rPr>
                <w:sz w:val="21"/>
                <w:szCs w:val="21"/>
              </w:rPr>
            </w:pPr>
            <w:r>
              <w:rPr>
                <w:rFonts w:hint="eastAsia"/>
                <w:sz w:val="21"/>
                <w:szCs w:val="21"/>
              </w:rPr>
              <w:t xml:space="preserve">1 .知道医疗与护理文件的记录原则及管理要求。 </w:t>
            </w:r>
          </w:p>
          <w:p w14:paraId="63F16190">
            <w:pPr>
              <w:rPr>
                <w:sz w:val="21"/>
                <w:szCs w:val="21"/>
              </w:rPr>
            </w:pPr>
            <w:r>
              <w:rPr>
                <w:rFonts w:hint="eastAsia"/>
                <w:sz w:val="21"/>
                <w:szCs w:val="21"/>
              </w:rPr>
              <w:t>2.知道医嘱处理的注意事项。 3.知道病区交班报告书写顺序及要求。</w:t>
            </w:r>
          </w:p>
          <w:p w14:paraId="2FF09D42">
            <w:pPr>
              <w:rPr>
                <w:sz w:val="21"/>
                <w:szCs w:val="21"/>
              </w:rPr>
            </w:pPr>
            <w:r>
              <w:rPr>
                <w:rFonts w:hint="eastAsia"/>
                <w:sz w:val="21"/>
                <w:szCs w:val="21"/>
              </w:rPr>
              <w:t xml:space="preserve">4.理解医疗与护理文件记录的重要性。 </w:t>
            </w:r>
          </w:p>
          <w:p w14:paraId="160AC4AE">
            <w:pPr>
              <w:rPr>
                <w:sz w:val="21"/>
                <w:szCs w:val="21"/>
              </w:rPr>
            </w:pPr>
            <w:r>
              <w:rPr>
                <w:rFonts w:hint="eastAsia"/>
                <w:sz w:val="21"/>
                <w:szCs w:val="21"/>
              </w:rPr>
              <w:t>5.理解医嘱的种类。</w:t>
            </w:r>
          </w:p>
          <w:p w14:paraId="4AC9D062">
            <w:pPr>
              <w:rPr>
                <w:sz w:val="21"/>
                <w:szCs w:val="21"/>
              </w:rPr>
            </w:pPr>
          </w:p>
        </w:tc>
        <w:tc>
          <w:tcPr>
            <w:tcW w:w="2410" w:type="dxa"/>
          </w:tcPr>
          <w:p w14:paraId="5CEB42B1">
            <w:pPr>
              <w:rPr>
                <w:sz w:val="21"/>
                <w:szCs w:val="21"/>
              </w:rPr>
            </w:pPr>
            <w:r>
              <w:rPr>
                <w:rFonts w:hint="eastAsia"/>
                <w:sz w:val="21"/>
                <w:szCs w:val="21"/>
              </w:rPr>
              <w:t xml:space="preserve">1.根据所提供的资料，正确绘制体温单和处理各种医嘱。 </w:t>
            </w:r>
          </w:p>
          <w:p w14:paraId="52664D3D">
            <w:pPr>
              <w:rPr>
                <w:sz w:val="21"/>
                <w:szCs w:val="21"/>
              </w:rPr>
            </w:pPr>
            <w:r>
              <w:rPr>
                <w:rFonts w:hint="eastAsia"/>
                <w:sz w:val="21"/>
                <w:szCs w:val="21"/>
              </w:rPr>
              <w:t xml:space="preserve">2.运用本章所学的知识，准确书写出入液记录单、特殊护理记 录单、病区交班报告。 </w:t>
            </w:r>
          </w:p>
          <w:p w14:paraId="31507B82">
            <w:pPr>
              <w:rPr>
                <w:sz w:val="21"/>
                <w:szCs w:val="21"/>
              </w:rPr>
            </w:pPr>
            <w:r>
              <w:rPr>
                <w:rFonts w:hint="eastAsia"/>
                <w:sz w:val="21"/>
                <w:szCs w:val="21"/>
              </w:rPr>
              <w:t xml:space="preserve">3.结合临床实践，完成一份完整的护理病历。 </w:t>
            </w:r>
          </w:p>
        </w:tc>
        <w:tc>
          <w:tcPr>
            <w:tcW w:w="1488" w:type="dxa"/>
          </w:tcPr>
          <w:p w14:paraId="4B9891FE">
            <w:pPr>
              <w:rPr>
                <w:sz w:val="21"/>
                <w:szCs w:val="21"/>
              </w:rPr>
            </w:pPr>
            <w:r>
              <w:rPr>
                <w:rFonts w:hint="eastAsia"/>
                <w:sz w:val="21"/>
                <w:szCs w:val="21"/>
              </w:rPr>
              <w:t>1.能够树立以患者为中心的理念， 关心患者、尊重患者。</w:t>
            </w:r>
          </w:p>
          <w:p w14:paraId="4545D911">
            <w:pPr>
              <w:rPr>
                <w:sz w:val="21"/>
                <w:szCs w:val="21"/>
              </w:rPr>
            </w:pPr>
            <w:r>
              <w:rPr>
                <w:rFonts w:hint="eastAsia"/>
                <w:sz w:val="21"/>
                <w:szCs w:val="21"/>
              </w:rPr>
              <w:t>2.能够正确认识医疗与护理文件记录的重要性，规范、认真记录相关文件。</w:t>
            </w:r>
          </w:p>
        </w:tc>
        <w:tc>
          <w:tcPr>
            <w:tcW w:w="1276" w:type="dxa"/>
          </w:tcPr>
          <w:p w14:paraId="6DE98BB9">
            <w:pPr>
              <w:rPr>
                <w:sz w:val="21"/>
                <w:szCs w:val="21"/>
              </w:rPr>
            </w:pPr>
            <w:r>
              <w:rPr>
                <w:rFonts w:hint="eastAsia"/>
                <w:sz w:val="21"/>
                <w:szCs w:val="21"/>
              </w:rPr>
              <w:t xml:space="preserve">1.体温单的绘制和各种医嘱的处理。 </w:t>
            </w:r>
          </w:p>
          <w:p w14:paraId="5E8D2A50">
            <w:pPr>
              <w:rPr>
                <w:sz w:val="21"/>
                <w:szCs w:val="21"/>
              </w:rPr>
            </w:pPr>
            <w:r>
              <w:rPr>
                <w:rFonts w:hint="eastAsia"/>
                <w:sz w:val="21"/>
                <w:szCs w:val="21"/>
              </w:rPr>
              <w:t>2.护理病历的书写。</w:t>
            </w:r>
          </w:p>
        </w:tc>
      </w:tr>
      <w:tr w14:paraId="6F47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A9679B9">
            <w:pPr>
              <w:rPr>
                <w:sz w:val="21"/>
                <w:szCs w:val="21"/>
              </w:rPr>
            </w:pPr>
            <w:r>
              <w:rPr>
                <w:rFonts w:hint="eastAsia"/>
                <w:sz w:val="21"/>
                <w:szCs w:val="21"/>
              </w:rPr>
              <w:t>8</w:t>
            </w:r>
          </w:p>
        </w:tc>
        <w:tc>
          <w:tcPr>
            <w:tcW w:w="696" w:type="dxa"/>
            <w:vAlign w:val="center"/>
          </w:tcPr>
          <w:p w14:paraId="38ACF9B4">
            <w:pPr>
              <w:rPr>
                <w:sz w:val="21"/>
                <w:szCs w:val="21"/>
              </w:rPr>
            </w:pPr>
            <w:r>
              <w:rPr>
                <w:rFonts w:hint="eastAsia"/>
                <w:sz w:val="21"/>
                <w:szCs w:val="21"/>
              </w:rPr>
              <w:t xml:space="preserve"> 生命体征的评估与护理</w:t>
            </w:r>
          </w:p>
          <w:p w14:paraId="41B78526">
            <w:pPr>
              <w:rPr>
                <w:sz w:val="21"/>
                <w:szCs w:val="21"/>
              </w:rPr>
            </w:pPr>
          </w:p>
        </w:tc>
        <w:tc>
          <w:tcPr>
            <w:tcW w:w="3174" w:type="dxa"/>
          </w:tcPr>
          <w:p w14:paraId="460C8AF4">
            <w:pPr>
              <w:rPr>
                <w:sz w:val="21"/>
                <w:szCs w:val="21"/>
              </w:rPr>
            </w:pPr>
            <w:r>
              <w:rPr>
                <w:rFonts w:hint="eastAsia"/>
                <w:sz w:val="21"/>
                <w:szCs w:val="21"/>
              </w:rPr>
              <w:t>1.知道体温、脉搏、</w:t>
            </w:r>
          </w:p>
          <w:p w14:paraId="494A16F4">
            <w:pPr>
              <w:rPr>
                <w:sz w:val="21"/>
                <w:szCs w:val="21"/>
              </w:rPr>
            </w:pPr>
            <w:r>
              <w:rPr>
                <w:rFonts w:hint="eastAsia"/>
                <w:sz w:val="21"/>
                <w:szCs w:val="21"/>
              </w:rPr>
              <w:t xml:space="preserve"> 呼吸、血压的正常值。 </w:t>
            </w:r>
          </w:p>
          <w:p w14:paraId="13DF2E19">
            <w:pPr>
              <w:rPr>
                <w:sz w:val="21"/>
                <w:szCs w:val="21"/>
              </w:rPr>
            </w:pPr>
            <w:r>
              <w:rPr>
                <w:rFonts w:hint="eastAsia"/>
                <w:sz w:val="21"/>
                <w:szCs w:val="21"/>
              </w:rPr>
              <w:t xml:space="preserve">2.知道体温、脉搏、呼吸、血压的生理变化。 </w:t>
            </w:r>
          </w:p>
          <w:p w14:paraId="213810F6">
            <w:pPr>
              <w:rPr>
                <w:sz w:val="21"/>
                <w:szCs w:val="21"/>
              </w:rPr>
            </w:pPr>
            <w:r>
              <w:rPr>
                <w:rFonts w:hint="eastAsia"/>
                <w:sz w:val="21"/>
                <w:szCs w:val="21"/>
              </w:rPr>
              <w:t xml:space="preserve">3.知道体温过低及脉搏、呼吸、血压异常的护理。 </w:t>
            </w:r>
          </w:p>
          <w:p w14:paraId="59FAEA0A">
            <w:pPr>
              <w:rPr>
                <w:sz w:val="21"/>
                <w:szCs w:val="21"/>
              </w:rPr>
            </w:pPr>
            <w:r>
              <w:rPr>
                <w:rFonts w:hint="eastAsia"/>
                <w:sz w:val="21"/>
                <w:szCs w:val="21"/>
              </w:rPr>
              <w:t xml:space="preserve">4.理解体温过高、体温过低、稽留热、弛张热、间歇热、不规则热、心动过速、心动过缓、间歇脉、脉搏短绌、洪脉、细脉、 交替脉、水冲脉、奇脉、高血压、低血压、 呼吸增快、呼吸减慢、深度呼吸、潮式呼吸、间断呼吸、 胸叩击、体位引流、 吸痰法及氧气疗法的概念。 </w:t>
            </w:r>
          </w:p>
          <w:p w14:paraId="421A47DE">
            <w:pPr>
              <w:rPr>
                <w:sz w:val="21"/>
                <w:szCs w:val="21"/>
              </w:rPr>
            </w:pPr>
            <w:r>
              <w:rPr>
                <w:rFonts w:hint="eastAsia"/>
                <w:sz w:val="21"/>
                <w:szCs w:val="21"/>
              </w:rPr>
              <w:t>5.理解异常体温、脉搏、呼吸、血压。</w:t>
            </w:r>
          </w:p>
          <w:p w14:paraId="2F59B8EA">
            <w:pPr>
              <w:rPr>
                <w:sz w:val="21"/>
                <w:szCs w:val="21"/>
              </w:rPr>
            </w:pPr>
            <w:r>
              <w:rPr>
                <w:rFonts w:hint="eastAsia"/>
                <w:sz w:val="21"/>
                <w:szCs w:val="21"/>
              </w:rPr>
              <w:t>6.理解有效咳嗽、叩击、体位引流和吸痰的方法。</w:t>
            </w:r>
          </w:p>
        </w:tc>
        <w:tc>
          <w:tcPr>
            <w:tcW w:w="2410" w:type="dxa"/>
          </w:tcPr>
          <w:p w14:paraId="2C9646DE">
            <w:pPr>
              <w:rPr>
                <w:sz w:val="21"/>
                <w:szCs w:val="21"/>
              </w:rPr>
            </w:pPr>
            <w:r>
              <w:rPr>
                <w:rFonts w:hint="eastAsia"/>
                <w:sz w:val="21"/>
                <w:szCs w:val="21"/>
              </w:rPr>
              <w:t xml:space="preserve">1.能运用所学知识，为体温过高病人制定护理措施。 </w:t>
            </w:r>
          </w:p>
          <w:p w14:paraId="62B72494">
            <w:pPr>
              <w:rPr>
                <w:sz w:val="21"/>
                <w:szCs w:val="21"/>
              </w:rPr>
            </w:pPr>
            <w:r>
              <w:rPr>
                <w:rFonts w:hint="eastAsia"/>
                <w:sz w:val="21"/>
                <w:szCs w:val="21"/>
              </w:rPr>
              <w:t xml:space="preserve">2.能运用所学知识，正确应用中心供氧装置、氧气筒等设备对缺氧病人实施正确的氧气疗法。 </w:t>
            </w:r>
          </w:p>
          <w:p w14:paraId="7FBF78CF">
            <w:pPr>
              <w:rPr>
                <w:sz w:val="21"/>
                <w:szCs w:val="21"/>
              </w:rPr>
            </w:pPr>
            <w:r>
              <w:rPr>
                <w:rFonts w:hint="eastAsia"/>
                <w:sz w:val="21"/>
                <w:szCs w:val="21"/>
              </w:rPr>
              <w:t>3.能正确使用体温计、血压计等进行测量和记录体温、脉搏、呼吸、血压，且态度认真、操作规范、数值准确、关心病人。</w:t>
            </w:r>
          </w:p>
        </w:tc>
        <w:tc>
          <w:tcPr>
            <w:tcW w:w="1488" w:type="dxa"/>
          </w:tcPr>
          <w:p w14:paraId="7A1F6903">
            <w:pPr>
              <w:rPr>
                <w:sz w:val="21"/>
                <w:szCs w:val="21"/>
              </w:rPr>
            </w:pPr>
            <w:r>
              <w:rPr>
                <w:rFonts w:hint="eastAsia"/>
                <w:sz w:val="21"/>
                <w:szCs w:val="21"/>
              </w:rPr>
              <w:t>在生命体征测量和护理操作：过程中，具备慎独精神，保证测量数值的客观准确，并能够体现出对患者的尊重和关爱。</w:t>
            </w:r>
          </w:p>
        </w:tc>
        <w:tc>
          <w:tcPr>
            <w:tcW w:w="1276" w:type="dxa"/>
          </w:tcPr>
          <w:p w14:paraId="13E8F14D">
            <w:pPr>
              <w:rPr>
                <w:sz w:val="21"/>
                <w:szCs w:val="21"/>
              </w:rPr>
            </w:pPr>
            <w:r>
              <w:rPr>
                <w:rFonts w:hint="eastAsia"/>
                <w:sz w:val="21"/>
                <w:szCs w:val="21"/>
              </w:rPr>
              <w:t>1.异常体温、脉搏、 呼吸、血压 2.有效咳 嗽、叩击、体位引流和吸痰的方法。</w:t>
            </w:r>
          </w:p>
        </w:tc>
      </w:tr>
    </w:tbl>
    <w:p w14:paraId="68675B4C">
      <w:pPr>
        <w:pStyle w:val="20"/>
        <w:spacing w:before="81" w:after="163"/>
      </w:pPr>
      <w:r>
        <w:rPr>
          <w:rFonts w:hint="eastAsia"/>
        </w:rPr>
        <w:t>（二）教学单元对课程目标的支撑关系</w:t>
      </w:r>
    </w:p>
    <w:tbl>
      <w:tblPr>
        <w:tblStyle w:val="9"/>
        <w:tblW w:w="4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58"/>
        <w:gridCol w:w="1381"/>
        <w:gridCol w:w="1380"/>
        <w:gridCol w:w="1380"/>
        <w:gridCol w:w="1379"/>
        <w:gridCol w:w="1380"/>
      </w:tblGrid>
      <w:tr w14:paraId="3B51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5FB6C24E">
            <w:pPr>
              <w:pStyle w:val="16"/>
              <w:ind w:firstLine="489"/>
              <w:jc w:val="right"/>
              <w:rPr>
                <w:szCs w:val="16"/>
              </w:rPr>
            </w:pPr>
            <w:r>
              <w:rPr>
                <w:rFonts w:hint="eastAsia"/>
                <w:szCs w:val="16"/>
              </w:rPr>
              <w:t>课程目标</w:t>
            </w:r>
          </w:p>
          <w:p w14:paraId="09B6634E">
            <w:pPr>
              <w:pStyle w:val="16"/>
              <w:ind w:right="210"/>
              <w:jc w:val="left"/>
              <w:rPr>
                <w:szCs w:val="16"/>
              </w:rPr>
            </w:pPr>
          </w:p>
          <w:p w14:paraId="312DCA1A">
            <w:pPr>
              <w:pStyle w:val="16"/>
              <w:ind w:right="210"/>
              <w:jc w:val="left"/>
              <w:rPr>
                <w:szCs w:val="16"/>
              </w:rPr>
            </w:pPr>
            <w:r>
              <w:rPr>
                <w:rFonts w:hint="eastAsia"/>
                <w:szCs w:val="16"/>
              </w:rPr>
              <w:t>教学单元</w:t>
            </w:r>
          </w:p>
        </w:tc>
        <w:tc>
          <w:tcPr>
            <w:tcW w:w="1074" w:type="dxa"/>
            <w:tcBorders>
              <w:top w:val="single" w:color="auto" w:sz="12" w:space="0"/>
            </w:tcBorders>
            <w:vAlign w:val="center"/>
          </w:tcPr>
          <w:p w14:paraId="5854B133">
            <w:pPr>
              <w:pStyle w:val="16"/>
              <w:rPr>
                <w:szCs w:val="16"/>
              </w:rPr>
            </w:pPr>
            <w:r>
              <w:rPr>
                <w:szCs w:val="16"/>
              </w:rPr>
              <w:t xml:space="preserve"> 1</w:t>
            </w:r>
          </w:p>
        </w:tc>
        <w:tc>
          <w:tcPr>
            <w:tcW w:w="1074" w:type="dxa"/>
            <w:tcBorders>
              <w:top w:val="single" w:color="auto" w:sz="12" w:space="0"/>
            </w:tcBorders>
            <w:vAlign w:val="center"/>
          </w:tcPr>
          <w:p w14:paraId="52AA5930">
            <w:pPr>
              <w:pStyle w:val="16"/>
              <w:rPr>
                <w:szCs w:val="16"/>
              </w:rPr>
            </w:pPr>
            <w:r>
              <w:rPr>
                <w:szCs w:val="16"/>
              </w:rPr>
              <w:t xml:space="preserve"> 2</w:t>
            </w:r>
          </w:p>
        </w:tc>
        <w:tc>
          <w:tcPr>
            <w:tcW w:w="1074" w:type="dxa"/>
            <w:tcBorders>
              <w:top w:val="single" w:color="auto" w:sz="12" w:space="0"/>
            </w:tcBorders>
            <w:vAlign w:val="center"/>
          </w:tcPr>
          <w:p w14:paraId="221A07CE">
            <w:pPr>
              <w:pStyle w:val="16"/>
              <w:rPr>
                <w:szCs w:val="16"/>
              </w:rPr>
            </w:pPr>
            <w:r>
              <w:rPr>
                <w:szCs w:val="16"/>
              </w:rPr>
              <w:t xml:space="preserve"> 3</w:t>
            </w:r>
          </w:p>
        </w:tc>
        <w:tc>
          <w:tcPr>
            <w:tcW w:w="1073" w:type="dxa"/>
            <w:tcBorders>
              <w:top w:val="single" w:color="auto" w:sz="12" w:space="0"/>
            </w:tcBorders>
            <w:vAlign w:val="center"/>
          </w:tcPr>
          <w:p w14:paraId="71EC865C">
            <w:pPr>
              <w:pStyle w:val="16"/>
              <w:rPr>
                <w:szCs w:val="16"/>
              </w:rPr>
            </w:pPr>
            <w:r>
              <w:rPr>
                <w:szCs w:val="16"/>
              </w:rPr>
              <w:t xml:space="preserve"> 4</w:t>
            </w:r>
          </w:p>
        </w:tc>
        <w:tc>
          <w:tcPr>
            <w:tcW w:w="1074" w:type="dxa"/>
            <w:tcBorders>
              <w:top w:val="single" w:color="auto" w:sz="12" w:space="0"/>
              <w:right w:val="single" w:color="auto" w:sz="12" w:space="0"/>
            </w:tcBorders>
            <w:vAlign w:val="center"/>
          </w:tcPr>
          <w:p w14:paraId="767297FA">
            <w:pPr>
              <w:pStyle w:val="16"/>
              <w:rPr>
                <w:szCs w:val="16"/>
              </w:rPr>
            </w:pPr>
            <w:r>
              <w:rPr>
                <w:szCs w:val="16"/>
              </w:rPr>
              <w:t xml:space="preserve"> </w:t>
            </w:r>
            <w:r>
              <w:rPr>
                <w:rFonts w:hint="eastAsia"/>
                <w:szCs w:val="16"/>
              </w:rPr>
              <w:t>5</w:t>
            </w:r>
          </w:p>
        </w:tc>
      </w:tr>
      <w:tr w14:paraId="2DDD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E06D78E">
            <w:pPr>
              <w:pStyle w:val="17"/>
              <w:jc w:val="both"/>
            </w:pPr>
            <w:r>
              <w:rPr>
                <w:rFonts w:hint="eastAsia"/>
              </w:rPr>
              <w:t xml:space="preserve">1 </w:t>
            </w:r>
            <w:r>
              <w:rPr>
                <w:rFonts w:hint="eastAsia" w:ascii="宋体" w:hAnsi="宋体"/>
              </w:rPr>
              <w:t>环境</w:t>
            </w:r>
          </w:p>
        </w:tc>
        <w:tc>
          <w:tcPr>
            <w:tcW w:w="1074" w:type="dxa"/>
            <w:vAlign w:val="center"/>
          </w:tcPr>
          <w:p w14:paraId="364740E6">
            <w:pPr>
              <w:pStyle w:val="17"/>
            </w:pPr>
            <w:r>
              <w:rPr>
                <w:rFonts w:hint="eastAsia"/>
              </w:rPr>
              <w:t>√</w:t>
            </w:r>
          </w:p>
        </w:tc>
        <w:tc>
          <w:tcPr>
            <w:tcW w:w="1074" w:type="dxa"/>
            <w:vAlign w:val="center"/>
          </w:tcPr>
          <w:p w14:paraId="43F7A2AE">
            <w:pPr>
              <w:pStyle w:val="17"/>
            </w:pPr>
          </w:p>
        </w:tc>
        <w:tc>
          <w:tcPr>
            <w:tcW w:w="1074" w:type="dxa"/>
            <w:vAlign w:val="center"/>
          </w:tcPr>
          <w:p w14:paraId="6B8313A4">
            <w:pPr>
              <w:pStyle w:val="17"/>
            </w:pPr>
          </w:p>
        </w:tc>
        <w:tc>
          <w:tcPr>
            <w:tcW w:w="1073" w:type="dxa"/>
            <w:vAlign w:val="center"/>
          </w:tcPr>
          <w:p w14:paraId="78C63557">
            <w:pPr>
              <w:pStyle w:val="17"/>
            </w:pPr>
            <w:r>
              <w:rPr>
                <w:rFonts w:hint="eastAsia"/>
              </w:rPr>
              <w:t>√</w:t>
            </w:r>
          </w:p>
        </w:tc>
        <w:tc>
          <w:tcPr>
            <w:tcW w:w="1074" w:type="dxa"/>
            <w:tcBorders>
              <w:right w:val="single" w:color="auto" w:sz="12" w:space="0"/>
            </w:tcBorders>
            <w:vAlign w:val="center"/>
          </w:tcPr>
          <w:p w14:paraId="16EE1E5E">
            <w:pPr>
              <w:pStyle w:val="17"/>
            </w:pPr>
            <w:r>
              <w:rPr>
                <w:rFonts w:hint="eastAsia"/>
              </w:rPr>
              <w:t xml:space="preserve"> </w:t>
            </w:r>
          </w:p>
        </w:tc>
      </w:tr>
      <w:tr w14:paraId="0FE0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E7FF23A">
            <w:pPr>
              <w:pStyle w:val="17"/>
              <w:jc w:val="left"/>
            </w:pPr>
            <w:r>
              <w:rPr>
                <w:rFonts w:hint="eastAsia" w:ascii="宋体" w:hAnsi="宋体"/>
              </w:rPr>
              <w:t>2 预防与控制医院感染</w:t>
            </w:r>
          </w:p>
        </w:tc>
        <w:tc>
          <w:tcPr>
            <w:tcW w:w="1074" w:type="dxa"/>
            <w:vAlign w:val="center"/>
          </w:tcPr>
          <w:p w14:paraId="0117E2FB">
            <w:pPr>
              <w:pStyle w:val="17"/>
            </w:pPr>
            <w:r>
              <w:rPr>
                <w:rFonts w:hint="eastAsia"/>
              </w:rPr>
              <w:t>√</w:t>
            </w:r>
          </w:p>
        </w:tc>
        <w:tc>
          <w:tcPr>
            <w:tcW w:w="1074" w:type="dxa"/>
            <w:vAlign w:val="center"/>
          </w:tcPr>
          <w:p w14:paraId="44F0F2AD">
            <w:pPr>
              <w:pStyle w:val="17"/>
            </w:pPr>
            <w:r>
              <w:rPr>
                <w:rFonts w:hint="eastAsia"/>
              </w:rPr>
              <w:t>√</w:t>
            </w:r>
          </w:p>
        </w:tc>
        <w:tc>
          <w:tcPr>
            <w:tcW w:w="1074" w:type="dxa"/>
            <w:vAlign w:val="center"/>
          </w:tcPr>
          <w:p w14:paraId="31BF86FD">
            <w:pPr>
              <w:pStyle w:val="17"/>
            </w:pPr>
          </w:p>
        </w:tc>
        <w:tc>
          <w:tcPr>
            <w:tcW w:w="1073" w:type="dxa"/>
            <w:vAlign w:val="center"/>
          </w:tcPr>
          <w:p w14:paraId="695B5A5E">
            <w:pPr>
              <w:pStyle w:val="17"/>
            </w:pPr>
            <w:r>
              <w:rPr>
                <w:rFonts w:hint="eastAsia"/>
              </w:rPr>
              <w:t>√</w:t>
            </w:r>
          </w:p>
        </w:tc>
        <w:tc>
          <w:tcPr>
            <w:tcW w:w="1074" w:type="dxa"/>
            <w:tcBorders>
              <w:right w:val="single" w:color="auto" w:sz="12" w:space="0"/>
            </w:tcBorders>
            <w:vAlign w:val="center"/>
          </w:tcPr>
          <w:p w14:paraId="02C81ED7">
            <w:pPr>
              <w:pStyle w:val="17"/>
            </w:pPr>
            <w:r>
              <w:rPr>
                <w:rFonts w:hint="eastAsia"/>
              </w:rPr>
              <w:t xml:space="preserve"> </w:t>
            </w:r>
          </w:p>
        </w:tc>
      </w:tr>
      <w:tr w14:paraId="20AB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7199889">
            <w:pPr>
              <w:pStyle w:val="17"/>
              <w:jc w:val="left"/>
              <w:rPr>
                <w:rFonts w:ascii="宋体" w:hAnsi="宋体"/>
              </w:rPr>
            </w:pPr>
            <w:r>
              <w:rPr>
                <w:rFonts w:hint="eastAsia" w:ascii="宋体" w:hAnsi="宋体"/>
              </w:rPr>
              <w:t>3 患者入院和出院的护理</w:t>
            </w:r>
          </w:p>
        </w:tc>
        <w:tc>
          <w:tcPr>
            <w:tcW w:w="1074" w:type="dxa"/>
            <w:vAlign w:val="center"/>
          </w:tcPr>
          <w:p w14:paraId="565B235D">
            <w:pPr>
              <w:pStyle w:val="17"/>
            </w:pPr>
            <w:r>
              <w:rPr>
                <w:rFonts w:hint="eastAsia"/>
              </w:rPr>
              <w:t>√</w:t>
            </w:r>
          </w:p>
        </w:tc>
        <w:tc>
          <w:tcPr>
            <w:tcW w:w="1074" w:type="dxa"/>
            <w:vAlign w:val="center"/>
          </w:tcPr>
          <w:p w14:paraId="44224F38">
            <w:pPr>
              <w:pStyle w:val="17"/>
            </w:pPr>
            <w:r>
              <w:rPr>
                <w:rFonts w:hint="eastAsia"/>
              </w:rPr>
              <w:t>√</w:t>
            </w:r>
          </w:p>
        </w:tc>
        <w:tc>
          <w:tcPr>
            <w:tcW w:w="1074" w:type="dxa"/>
            <w:vAlign w:val="center"/>
          </w:tcPr>
          <w:p w14:paraId="1F8F41C7">
            <w:pPr>
              <w:pStyle w:val="17"/>
            </w:pPr>
            <w:r>
              <w:rPr>
                <w:rFonts w:hint="eastAsia"/>
              </w:rPr>
              <w:t>√</w:t>
            </w:r>
          </w:p>
        </w:tc>
        <w:tc>
          <w:tcPr>
            <w:tcW w:w="1073" w:type="dxa"/>
            <w:vAlign w:val="center"/>
          </w:tcPr>
          <w:p w14:paraId="475A4AE2">
            <w:pPr>
              <w:pStyle w:val="17"/>
            </w:pPr>
          </w:p>
        </w:tc>
        <w:tc>
          <w:tcPr>
            <w:tcW w:w="1074" w:type="dxa"/>
            <w:tcBorders>
              <w:right w:val="single" w:color="auto" w:sz="12" w:space="0"/>
            </w:tcBorders>
            <w:vAlign w:val="center"/>
          </w:tcPr>
          <w:p w14:paraId="41ED6F9C">
            <w:pPr>
              <w:pStyle w:val="17"/>
            </w:pPr>
            <w:r>
              <w:rPr>
                <w:rFonts w:hint="eastAsia"/>
              </w:rPr>
              <w:t>√</w:t>
            </w:r>
          </w:p>
        </w:tc>
      </w:tr>
      <w:tr w14:paraId="064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A2D880A">
            <w:pPr>
              <w:rPr>
                <w:sz w:val="21"/>
                <w:szCs w:val="21"/>
              </w:rPr>
            </w:pPr>
            <w:r>
              <w:rPr>
                <w:rFonts w:hint="eastAsia"/>
                <w:sz w:val="21"/>
                <w:szCs w:val="21"/>
              </w:rPr>
              <w:t>4 患者的安全与护士的职业防护</w:t>
            </w:r>
          </w:p>
        </w:tc>
        <w:tc>
          <w:tcPr>
            <w:tcW w:w="1074" w:type="dxa"/>
            <w:vAlign w:val="center"/>
          </w:tcPr>
          <w:p w14:paraId="324790A2">
            <w:pPr>
              <w:pStyle w:val="17"/>
            </w:pPr>
            <w:r>
              <w:rPr>
                <w:rFonts w:hint="eastAsia"/>
              </w:rPr>
              <w:t>√</w:t>
            </w:r>
          </w:p>
        </w:tc>
        <w:tc>
          <w:tcPr>
            <w:tcW w:w="1074" w:type="dxa"/>
            <w:vAlign w:val="center"/>
          </w:tcPr>
          <w:p w14:paraId="11113350">
            <w:pPr>
              <w:pStyle w:val="17"/>
            </w:pPr>
            <w:r>
              <w:rPr>
                <w:rFonts w:hint="eastAsia"/>
              </w:rPr>
              <w:t>√</w:t>
            </w:r>
          </w:p>
        </w:tc>
        <w:tc>
          <w:tcPr>
            <w:tcW w:w="1074" w:type="dxa"/>
            <w:vAlign w:val="center"/>
          </w:tcPr>
          <w:p w14:paraId="65A364A8">
            <w:pPr>
              <w:pStyle w:val="17"/>
            </w:pPr>
            <w:r>
              <w:rPr>
                <w:rFonts w:hint="eastAsia"/>
              </w:rPr>
              <w:t>√</w:t>
            </w:r>
          </w:p>
        </w:tc>
        <w:tc>
          <w:tcPr>
            <w:tcW w:w="1073" w:type="dxa"/>
            <w:vAlign w:val="center"/>
          </w:tcPr>
          <w:p w14:paraId="1F0B2467">
            <w:pPr>
              <w:pStyle w:val="17"/>
            </w:pPr>
            <w:r>
              <w:rPr>
                <w:rFonts w:hint="eastAsia"/>
              </w:rPr>
              <w:t>√</w:t>
            </w:r>
          </w:p>
        </w:tc>
        <w:tc>
          <w:tcPr>
            <w:tcW w:w="1074" w:type="dxa"/>
            <w:tcBorders>
              <w:right w:val="single" w:color="auto" w:sz="12" w:space="0"/>
            </w:tcBorders>
            <w:vAlign w:val="center"/>
          </w:tcPr>
          <w:p w14:paraId="2C523F4C">
            <w:pPr>
              <w:pStyle w:val="17"/>
            </w:pPr>
            <w:r>
              <w:rPr>
                <w:rFonts w:hint="eastAsia"/>
              </w:rPr>
              <w:t>√</w:t>
            </w:r>
          </w:p>
        </w:tc>
      </w:tr>
      <w:tr w14:paraId="1C1F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7DDDC890">
            <w:pPr>
              <w:rPr>
                <w:sz w:val="21"/>
                <w:szCs w:val="21"/>
              </w:rPr>
            </w:pPr>
            <w:r>
              <w:rPr>
                <w:rFonts w:hint="eastAsia"/>
                <w:sz w:val="21"/>
                <w:szCs w:val="21"/>
              </w:rPr>
              <w:t>5 患者的清洁卫生</w:t>
            </w:r>
          </w:p>
        </w:tc>
        <w:tc>
          <w:tcPr>
            <w:tcW w:w="1074" w:type="dxa"/>
            <w:vAlign w:val="center"/>
          </w:tcPr>
          <w:p w14:paraId="514DA097">
            <w:pPr>
              <w:pStyle w:val="17"/>
            </w:pPr>
            <w:r>
              <w:rPr>
                <w:rFonts w:hint="eastAsia"/>
              </w:rPr>
              <w:t>√</w:t>
            </w:r>
          </w:p>
        </w:tc>
        <w:tc>
          <w:tcPr>
            <w:tcW w:w="1074" w:type="dxa"/>
            <w:vAlign w:val="center"/>
          </w:tcPr>
          <w:p w14:paraId="4A2CAC6E">
            <w:pPr>
              <w:pStyle w:val="17"/>
            </w:pPr>
            <w:r>
              <w:rPr>
                <w:rFonts w:hint="eastAsia"/>
              </w:rPr>
              <w:t>√</w:t>
            </w:r>
          </w:p>
        </w:tc>
        <w:tc>
          <w:tcPr>
            <w:tcW w:w="1074" w:type="dxa"/>
            <w:vAlign w:val="center"/>
          </w:tcPr>
          <w:p w14:paraId="5E42D45E">
            <w:pPr>
              <w:pStyle w:val="17"/>
            </w:pPr>
            <w:r>
              <w:rPr>
                <w:rFonts w:hint="eastAsia"/>
              </w:rPr>
              <w:t>√</w:t>
            </w:r>
          </w:p>
        </w:tc>
        <w:tc>
          <w:tcPr>
            <w:tcW w:w="1073" w:type="dxa"/>
            <w:vAlign w:val="center"/>
          </w:tcPr>
          <w:p w14:paraId="2196B7D0">
            <w:pPr>
              <w:pStyle w:val="17"/>
            </w:pPr>
            <w:r>
              <w:rPr>
                <w:rFonts w:hint="eastAsia"/>
              </w:rPr>
              <w:t xml:space="preserve"> </w:t>
            </w:r>
          </w:p>
        </w:tc>
        <w:tc>
          <w:tcPr>
            <w:tcW w:w="1074" w:type="dxa"/>
            <w:tcBorders>
              <w:right w:val="single" w:color="auto" w:sz="12" w:space="0"/>
            </w:tcBorders>
            <w:vAlign w:val="center"/>
          </w:tcPr>
          <w:p w14:paraId="5470429C">
            <w:pPr>
              <w:pStyle w:val="17"/>
            </w:pPr>
            <w:r>
              <w:rPr>
                <w:rFonts w:hint="eastAsia"/>
              </w:rPr>
              <w:t>√</w:t>
            </w:r>
          </w:p>
        </w:tc>
      </w:tr>
      <w:tr w14:paraId="569A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0BF3DC4F">
            <w:pPr>
              <w:rPr>
                <w:sz w:val="21"/>
                <w:szCs w:val="21"/>
              </w:rPr>
            </w:pPr>
            <w:r>
              <w:rPr>
                <w:rFonts w:hint="eastAsia"/>
                <w:sz w:val="21"/>
                <w:szCs w:val="21"/>
              </w:rPr>
              <w:t>6 休息与活动</w:t>
            </w:r>
          </w:p>
        </w:tc>
        <w:tc>
          <w:tcPr>
            <w:tcW w:w="1074" w:type="dxa"/>
            <w:vAlign w:val="center"/>
          </w:tcPr>
          <w:p w14:paraId="4591F6E0">
            <w:pPr>
              <w:pStyle w:val="17"/>
            </w:pPr>
            <w:r>
              <w:rPr>
                <w:rFonts w:hint="eastAsia"/>
              </w:rPr>
              <w:t>√</w:t>
            </w:r>
          </w:p>
        </w:tc>
        <w:tc>
          <w:tcPr>
            <w:tcW w:w="1074" w:type="dxa"/>
            <w:vAlign w:val="center"/>
          </w:tcPr>
          <w:p w14:paraId="2570B523">
            <w:pPr>
              <w:pStyle w:val="17"/>
            </w:pPr>
            <w:r>
              <w:rPr>
                <w:rFonts w:hint="eastAsia"/>
              </w:rPr>
              <w:t>√</w:t>
            </w:r>
          </w:p>
        </w:tc>
        <w:tc>
          <w:tcPr>
            <w:tcW w:w="1074" w:type="dxa"/>
            <w:vAlign w:val="center"/>
          </w:tcPr>
          <w:p w14:paraId="4A7F849F">
            <w:pPr>
              <w:pStyle w:val="17"/>
            </w:pPr>
            <w:r>
              <w:rPr>
                <w:rFonts w:hint="eastAsia"/>
              </w:rPr>
              <w:t>√</w:t>
            </w:r>
          </w:p>
        </w:tc>
        <w:tc>
          <w:tcPr>
            <w:tcW w:w="1073" w:type="dxa"/>
            <w:vAlign w:val="center"/>
          </w:tcPr>
          <w:p w14:paraId="5E86D2E3">
            <w:pPr>
              <w:pStyle w:val="17"/>
            </w:pPr>
            <w:r>
              <w:rPr>
                <w:rFonts w:hint="eastAsia"/>
              </w:rPr>
              <w:t xml:space="preserve"> </w:t>
            </w:r>
          </w:p>
        </w:tc>
        <w:tc>
          <w:tcPr>
            <w:tcW w:w="1074" w:type="dxa"/>
            <w:tcBorders>
              <w:right w:val="single" w:color="auto" w:sz="12" w:space="0"/>
            </w:tcBorders>
            <w:vAlign w:val="center"/>
          </w:tcPr>
          <w:p w14:paraId="1C2B5C6C">
            <w:pPr>
              <w:pStyle w:val="17"/>
            </w:pPr>
            <w:r>
              <w:rPr>
                <w:rFonts w:hint="eastAsia"/>
              </w:rPr>
              <w:t>√</w:t>
            </w:r>
          </w:p>
        </w:tc>
      </w:tr>
      <w:tr w14:paraId="19D4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81B6749">
            <w:pPr>
              <w:rPr>
                <w:sz w:val="21"/>
                <w:szCs w:val="21"/>
              </w:rPr>
            </w:pPr>
            <w:r>
              <w:rPr>
                <w:rFonts w:hint="eastAsia"/>
                <w:sz w:val="21"/>
                <w:szCs w:val="21"/>
              </w:rPr>
              <w:t>7 医疗与护理文件</w:t>
            </w:r>
          </w:p>
        </w:tc>
        <w:tc>
          <w:tcPr>
            <w:tcW w:w="1074" w:type="dxa"/>
            <w:vAlign w:val="center"/>
          </w:tcPr>
          <w:p w14:paraId="513005ED">
            <w:pPr>
              <w:pStyle w:val="17"/>
            </w:pPr>
            <w:r>
              <w:rPr>
                <w:rFonts w:hint="eastAsia"/>
              </w:rPr>
              <w:t>√</w:t>
            </w:r>
          </w:p>
        </w:tc>
        <w:tc>
          <w:tcPr>
            <w:tcW w:w="1074" w:type="dxa"/>
            <w:vAlign w:val="center"/>
          </w:tcPr>
          <w:p w14:paraId="5BB80B4C">
            <w:pPr>
              <w:pStyle w:val="17"/>
            </w:pPr>
            <w:r>
              <w:rPr>
                <w:rFonts w:hint="eastAsia"/>
              </w:rPr>
              <w:t>√</w:t>
            </w:r>
          </w:p>
        </w:tc>
        <w:tc>
          <w:tcPr>
            <w:tcW w:w="1074" w:type="dxa"/>
            <w:vAlign w:val="center"/>
          </w:tcPr>
          <w:p w14:paraId="6B2F1597">
            <w:pPr>
              <w:pStyle w:val="17"/>
            </w:pPr>
            <w:r>
              <w:rPr>
                <w:rFonts w:hint="eastAsia"/>
              </w:rPr>
              <w:t xml:space="preserve"> </w:t>
            </w:r>
          </w:p>
        </w:tc>
        <w:tc>
          <w:tcPr>
            <w:tcW w:w="1073" w:type="dxa"/>
            <w:vAlign w:val="center"/>
          </w:tcPr>
          <w:p w14:paraId="6112D6BB">
            <w:pPr>
              <w:pStyle w:val="17"/>
            </w:pPr>
            <w:r>
              <w:rPr>
                <w:rFonts w:hint="eastAsia"/>
              </w:rPr>
              <w:t xml:space="preserve"> √</w:t>
            </w:r>
          </w:p>
        </w:tc>
        <w:tc>
          <w:tcPr>
            <w:tcW w:w="1074" w:type="dxa"/>
            <w:tcBorders>
              <w:right w:val="single" w:color="auto" w:sz="12" w:space="0"/>
            </w:tcBorders>
            <w:vAlign w:val="center"/>
          </w:tcPr>
          <w:p w14:paraId="375069A7">
            <w:pPr>
              <w:pStyle w:val="17"/>
            </w:pPr>
            <w:r>
              <w:rPr>
                <w:rFonts w:hint="eastAsia"/>
              </w:rPr>
              <w:t xml:space="preserve"> </w:t>
            </w:r>
          </w:p>
        </w:tc>
      </w:tr>
      <w:tr w14:paraId="2BCC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266074A">
            <w:pPr>
              <w:rPr>
                <w:sz w:val="21"/>
                <w:szCs w:val="21"/>
              </w:rPr>
            </w:pPr>
            <w:r>
              <w:rPr>
                <w:rFonts w:hint="eastAsia"/>
                <w:sz w:val="21"/>
                <w:szCs w:val="21"/>
              </w:rPr>
              <w:t>8 生命体征的评估与护理</w:t>
            </w:r>
          </w:p>
        </w:tc>
        <w:tc>
          <w:tcPr>
            <w:tcW w:w="1074" w:type="dxa"/>
            <w:vAlign w:val="center"/>
          </w:tcPr>
          <w:p w14:paraId="08EEF6B6">
            <w:pPr>
              <w:pStyle w:val="17"/>
            </w:pPr>
            <w:r>
              <w:rPr>
                <w:rFonts w:hint="eastAsia"/>
              </w:rPr>
              <w:t>√</w:t>
            </w:r>
          </w:p>
        </w:tc>
        <w:tc>
          <w:tcPr>
            <w:tcW w:w="1074" w:type="dxa"/>
            <w:vAlign w:val="center"/>
          </w:tcPr>
          <w:p w14:paraId="42BEB89C">
            <w:pPr>
              <w:pStyle w:val="17"/>
            </w:pPr>
            <w:r>
              <w:rPr>
                <w:rFonts w:hint="eastAsia"/>
              </w:rPr>
              <w:t>√</w:t>
            </w:r>
          </w:p>
        </w:tc>
        <w:tc>
          <w:tcPr>
            <w:tcW w:w="1074" w:type="dxa"/>
            <w:vAlign w:val="center"/>
          </w:tcPr>
          <w:p w14:paraId="626DF4AE">
            <w:pPr>
              <w:pStyle w:val="17"/>
            </w:pPr>
            <w:r>
              <w:rPr>
                <w:rFonts w:hint="eastAsia"/>
              </w:rPr>
              <w:t>√</w:t>
            </w:r>
          </w:p>
        </w:tc>
        <w:tc>
          <w:tcPr>
            <w:tcW w:w="1073" w:type="dxa"/>
            <w:vAlign w:val="center"/>
          </w:tcPr>
          <w:p w14:paraId="0CEA0EEF">
            <w:pPr>
              <w:pStyle w:val="17"/>
            </w:pPr>
            <w:r>
              <w:rPr>
                <w:rFonts w:hint="eastAsia"/>
              </w:rPr>
              <w:t xml:space="preserve"> </w:t>
            </w:r>
          </w:p>
        </w:tc>
        <w:tc>
          <w:tcPr>
            <w:tcW w:w="1074" w:type="dxa"/>
            <w:tcBorders>
              <w:right w:val="single" w:color="auto" w:sz="12" w:space="0"/>
            </w:tcBorders>
            <w:vAlign w:val="center"/>
          </w:tcPr>
          <w:p w14:paraId="2FB698A8">
            <w:pPr>
              <w:pStyle w:val="17"/>
            </w:pPr>
            <w:r>
              <w:rPr>
                <w:rFonts w:hint="eastAsia"/>
              </w:rPr>
              <w:t>√</w:t>
            </w:r>
          </w:p>
        </w:tc>
      </w:tr>
    </w:tbl>
    <w:p w14:paraId="2961A0F7">
      <w:pPr>
        <w:pStyle w:val="20"/>
        <w:spacing w:before="326" w:beforeLines="100" w:after="163"/>
        <w:rPr>
          <w:rFonts w:hint="eastAsia"/>
        </w:rPr>
      </w:pPr>
      <w:r>
        <w:rPr>
          <w:rFonts w:hint="eastAsia"/>
        </w:rPr>
        <w:t>（三）课程教学方法与学时分配</w:t>
      </w:r>
    </w:p>
    <w:p w14:paraId="79F3CCC1">
      <w:pPr>
        <w:pStyle w:val="20"/>
        <w:spacing w:before="326" w:beforeLines="100" w:after="163"/>
      </w:pPr>
    </w:p>
    <w:tbl>
      <w:tblPr>
        <w:tblStyle w:val="10"/>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19"/>
        <w:gridCol w:w="3686"/>
        <w:gridCol w:w="2126"/>
        <w:gridCol w:w="992"/>
        <w:gridCol w:w="993"/>
        <w:gridCol w:w="850"/>
      </w:tblGrid>
      <w:tr w14:paraId="2DF2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19" w:type="dxa"/>
            <w:vMerge w:val="restart"/>
            <w:tcBorders>
              <w:top w:val="single" w:color="auto" w:sz="12" w:space="0"/>
              <w:left w:val="single" w:color="auto" w:sz="12" w:space="0"/>
            </w:tcBorders>
            <w:vAlign w:val="center"/>
          </w:tcPr>
          <w:p w14:paraId="34FE1CC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686" w:type="dxa"/>
            <w:vMerge w:val="restart"/>
            <w:tcBorders>
              <w:top w:val="single" w:color="auto" w:sz="12" w:space="0"/>
            </w:tcBorders>
            <w:vAlign w:val="center"/>
          </w:tcPr>
          <w:p w14:paraId="61824BBC">
            <w:pPr>
              <w:pStyle w:val="16"/>
              <w:widowControl w:val="0"/>
              <w:rPr>
                <w:szCs w:val="21"/>
              </w:rPr>
            </w:pPr>
            <w:r>
              <w:rPr>
                <w:rFonts w:hint="eastAsia" w:ascii="黑体" w:hAnsi="黑体"/>
                <w:szCs w:val="21"/>
              </w:rPr>
              <w:t>教与学方式</w:t>
            </w:r>
          </w:p>
        </w:tc>
        <w:tc>
          <w:tcPr>
            <w:tcW w:w="2126" w:type="dxa"/>
            <w:vMerge w:val="restart"/>
            <w:tcBorders>
              <w:top w:val="single" w:color="auto" w:sz="12" w:space="0"/>
            </w:tcBorders>
            <w:vAlign w:val="center"/>
          </w:tcPr>
          <w:p w14:paraId="57D12073">
            <w:pPr>
              <w:pStyle w:val="16"/>
              <w:widowControl w:val="0"/>
              <w:rPr>
                <w:rFonts w:ascii="黑体" w:hAnsi="黑体"/>
                <w:szCs w:val="21"/>
              </w:rPr>
            </w:pPr>
            <w:r>
              <w:rPr>
                <w:rFonts w:hint="eastAsia" w:ascii="黑体" w:hAnsi="黑体"/>
                <w:szCs w:val="21"/>
              </w:rPr>
              <w:t>考核方式</w:t>
            </w:r>
          </w:p>
        </w:tc>
        <w:tc>
          <w:tcPr>
            <w:tcW w:w="2835" w:type="dxa"/>
            <w:gridSpan w:val="3"/>
            <w:tcBorders>
              <w:top w:val="single" w:color="auto" w:sz="12" w:space="0"/>
              <w:right w:val="single" w:color="auto" w:sz="12" w:space="0"/>
            </w:tcBorders>
            <w:vAlign w:val="center"/>
          </w:tcPr>
          <w:p w14:paraId="3777B2BF">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59F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19" w:type="dxa"/>
            <w:vMerge w:val="continue"/>
            <w:tcBorders>
              <w:left w:val="single" w:color="auto" w:sz="12" w:space="0"/>
            </w:tcBorders>
          </w:tcPr>
          <w:p w14:paraId="06035B4D">
            <w:pPr>
              <w:widowControl w:val="0"/>
              <w:snapToGrid w:val="0"/>
              <w:jc w:val="center"/>
              <w:rPr>
                <w:rFonts w:ascii="黑体" w:hAnsi="黑体" w:eastAsia="黑体"/>
                <w:bCs/>
                <w:sz w:val="21"/>
                <w:szCs w:val="21"/>
              </w:rPr>
            </w:pPr>
          </w:p>
        </w:tc>
        <w:tc>
          <w:tcPr>
            <w:tcW w:w="3686" w:type="dxa"/>
            <w:vMerge w:val="continue"/>
          </w:tcPr>
          <w:p w14:paraId="5A4E92ED">
            <w:pPr>
              <w:widowControl w:val="0"/>
              <w:snapToGrid w:val="0"/>
              <w:jc w:val="center"/>
              <w:rPr>
                <w:rFonts w:ascii="黑体" w:hAnsi="黑体" w:eastAsia="黑体"/>
                <w:bCs/>
                <w:sz w:val="21"/>
                <w:szCs w:val="21"/>
              </w:rPr>
            </w:pPr>
          </w:p>
        </w:tc>
        <w:tc>
          <w:tcPr>
            <w:tcW w:w="2126" w:type="dxa"/>
            <w:vMerge w:val="continue"/>
          </w:tcPr>
          <w:p w14:paraId="1A12232F">
            <w:pPr>
              <w:widowControl w:val="0"/>
              <w:snapToGrid w:val="0"/>
              <w:jc w:val="center"/>
              <w:rPr>
                <w:rFonts w:ascii="黑体" w:hAnsi="黑体" w:eastAsia="黑体"/>
                <w:bCs/>
                <w:sz w:val="21"/>
                <w:szCs w:val="21"/>
              </w:rPr>
            </w:pPr>
          </w:p>
        </w:tc>
        <w:tc>
          <w:tcPr>
            <w:tcW w:w="992" w:type="dxa"/>
            <w:vAlign w:val="center"/>
          </w:tcPr>
          <w:p w14:paraId="78994CB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993" w:type="dxa"/>
            <w:vAlign w:val="center"/>
          </w:tcPr>
          <w:p w14:paraId="1DD2B7C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850" w:type="dxa"/>
            <w:tcBorders>
              <w:right w:val="single" w:color="auto" w:sz="12" w:space="0"/>
            </w:tcBorders>
            <w:vAlign w:val="center"/>
          </w:tcPr>
          <w:p w14:paraId="3B5FB52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397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4089457D">
            <w:pPr>
              <w:widowControl w:val="0"/>
              <w:snapToGrid w:val="0"/>
              <w:jc w:val="center"/>
              <w:rPr>
                <w:sz w:val="21"/>
                <w:szCs w:val="21"/>
              </w:rPr>
            </w:pPr>
            <w:r>
              <w:rPr>
                <w:rFonts w:hint="eastAsia"/>
                <w:sz w:val="21"/>
                <w:szCs w:val="21"/>
              </w:rPr>
              <w:t>1</w:t>
            </w:r>
          </w:p>
        </w:tc>
        <w:tc>
          <w:tcPr>
            <w:tcW w:w="3686" w:type="dxa"/>
            <w:vAlign w:val="center"/>
          </w:tcPr>
          <w:p w14:paraId="38FB6923">
            <w:pPr>
              <w:widowControl w:val="0"/>
              <w:snapToGrid w:val="0"/>
              <w:jc w:val="center"/>
              <w:rPr>
                <w:sz w:val="21"/>
                <w:szCs w:val="21"/>
              </w:rPr>
            </w:pPr>
            <w:r>
              <w:rPr>
                <w:rFonts w:hint="eastAsia"/>
                <w:sz w:val="21"/>
                <w:szCs w:val="21"/>
              </w:rPr>
              <w:t>讲述法、讨论法；问题导向学习</w:t>
            </w:r>
          </w:p>
        </w:tc>
        <w:tc>
          <w:tcPr>
            <w:tcW w:w="2126" w:type="dxa"/>
            <w:vAlign w:val="center"/>
          </w:tcPr>
          <w:p w14:paraId="35A7563F">
            <w:pPr>
              <w:widowControl w:val="0"/>
              <w:snapToGrid w:val="0"/>
              <w:jc w:val="center"/>
              <w:rPr>
                <w:sz w:val="21"/>
                <w:szCs w:val="21"/>
              </w:rPr>
            </w:pPr>
            <w:r>
              <w:rPr>
                <w:rFonts w:hint="eastAsia"/>
                <w:color w:val="000000"/>
                <w:sz w:val="21"/>
                <w:szCs w:val="21"/>
              </w:rPr>
              <w:t>理论测试</w:t>
            </w:r>
          </w:p>
        </w:tc>
        <w:tc>
          <w:tcPr>
            <w:tcW w:w="992" w:type="dxa"/>
            <w:vAlign w:val="center"/>
          </w:tcPr>
          <w:p w14:paraId="1A33687D">
            <w:pPr>
              <w:widowControl w:val="0"/>
              <w:snapToGrid w:val="0"/>
              <w:jc w:val="center"/>
              <w:rPr>
                <w:sz w:val="21"/>
                <w:szCs w:val="21"/>
              </w:rPr>
            </w:pPr>
            <w:r>
              <w:rPr>
                <w:rFonts w:hint="eastAsia"/>
                <w:sz w:val="21"/>
                <w:szCs w:val="21"/>
              </w:rPr>
              <w:t>2</w:t>
            </w:r>
          </w:p>
        </w:tc>
        <w:tc>
          <w:tcPr>
            <w:tcW w:w="993" w:type="dxa"/>
            <w:vAlign w:val="center"/>
          </w:tcPr>
          <w:p w14:paraId="0AF5371D">
            <w:pPr>
              <w:widowControl w:val="0"/>
              <w:snapToGrid w:val="0"/>
              <w:jc w:val="center"/>
              <w:rPr>
                <w:bCs/>
                <w:sz w:val="21"/>
                <w:szCs w:val="21"/>
              </w:rPr>
            </w:pPr>
            <w:r>
              <w:rPr>
                <w:rFonts w:hint="eastAsia"/>
                <w:bCs/>
                <w:sz w:val="21"/>
                <w:szCs w:val="21"/>
              </w:rPr>
              <w:t>0</w:t>
            </w:r>
          </w:p>
        </w:tc>
        <w:tc>
          <w:tcPr>
            <w:tcW w:w="850" w:type="dxa"/>
            <w:tcBorders>
              <w:right w:val="single" w:color="auto" w:sz="12" w:space="0"/>
            </w:tcBorders>
            <w:vAlign w:val="center"/>
          </w:tcPr>
          <w:p w14:paraId="057D0FC9">
            <w:pPr>
              <w:widowControl w:val="0"/>
              <w:snapToGrid w:val="0"/>
              <w:jc w:val="center"/>
              <w:rPr>
                <w:bCs/>
                <w:sz w:val="21"/>
                <w:szCs w:val="21"/>
              </w:rPr>
            </w:pPr>
            <w:r>
              <w:rPr>
                <w:rFonts w:hint="eastAsia"/>
                <w:bCs/>
                <w:sz w:val="21"/>
                <w:szCs w:val="21"/>
              </w:rPr>
              <w:t>2</w:t>
            </w:r>
          </w:p>
        </w:tc>
      </w:tr>
      <w:tr w14:paraId="7E71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61938863">
            <w:pPr>
              <w:widowControl w:val="0"/>
              <w:snapToGrid w:val="0"/>
              <w:jc w:val="center"/>
              <w:rPr>
                <w:sz w:val="21"/>
                <w:szCs w:val="21"/>
              </w:rPr>
            </w:pPr>
            <w:r>
              <w:rPr>
                <w:rFonts w:hint="eastAsia"/>
                <w:sz w:val="21"/>
                <w:szCs w:val="21"/>
              </w:rPr>
              <w:t>2</w:t>
            </w:r>
          </w:p>
        </w:tc>
        <w:tc>
          <w:tcPr>
            <w:tcW w:w="3686" w:type="dxa"/>
            <w:vAlign w:val="center"/>
          </w:tcPr>
          <w:p w14:paraId="11C5622C">
            <w:pPr>
              <w:widowControl w:val="0"/>
              <w:snapToGrid w:val="0"/>
              <w:jc w:val="center"/>
              <w:rPr>
                <w:sz w:val="21"/>
                <w:szCs w:val="21"/>
              </w:rPr>
            </w:pPr>
            <w:r>
              <w:rPr>
                <w:rFonts w:hint="eastAsia"/>
                <w:sz w:val="21"/>
                <w:szCs w:val="21"/>
              </w:rPr>
              <w:t>讲述法、示范教学法、练习教学法；问题导向学习</w:t>
            </w:r>
          </w:p>
        </w:tc>
        <w:tc>
          <w:tcPr>
            <w:tcW w:w="2126" w:type="dxa"/>
            <w:vAlign w:val="center"/>
          </w:tcPr>
          <w:p w14:paraId="424ACF96">
            <w:pPr>
              <w:widowControl w:val="0"/>
              <w:snapToGrid w:val="0"/>
              <w:jc w:val="center"/>
              <w:rPr>
                <w:color w:val="000000"/>
                <w:sz w:val="21"/>
                <w:szCs w:val="21"/>
              </w:rPr>
            </w:pPr>
            <w:r>
              <w:rPr>
                <w:rFonts w:hint="eastAsia"/>
                <w:color w:val="000000"/>
                <w:sz w:val="21"/>
                <w:szCs w:val="21"/>
              </w:rPr>
              <w:t>理论测试、</w:t>
            </w:r>
          </w:p>
          <w:p w14:paraId="4B01074A">
            <w:pPr>
              <w:widowControl w:val="0"/>
              <w:snapToGrid w:val="0"/>
              <w:jc w:val="center"/>
              <w:rPr>
                <w:sz w:val="21"/>
                <w:szCs w:val="21"/>
              </w:rPr>
            </w:pPr>
            <w:r>
              <w:rPr>
                <w:rFonts w:hint="eastAsia"/>
                <w:sz w:val="21"/>
                <w:szCs w:val="21"/>
              </w:rPr>
              <w:t>实训报告、</w:t>
            </w:r>
          </w:p>
          <w:p w14:paraId="36E23E0E">
            <w:pPr>
              <w:widowControl w:val="0"/>
              <w:snapToGrid w:val="0"/>
              <w:jc w:val="center"/>
              <w:rPr>
                <w:sz w:val="21"/>
                <w:szCs w:val="21"/>
              </w:rPr>
            </w:pPr>
            <w:r>
              <w:rPr>
                <w:rFonts w:hint="eastAsia"/>
                <w:sz w:val="21"/>
                <w:szCs w:val="21"/>
              </w:rPr>
              <w:t>实践操作考核</w:t>
            </w:r>
          </w:p>
        </w:tc>
        <w:tc>
          <w:tcPr>
            <w:tcW w:w="992" w:type="dxa"/>
            <w:vAlign w:val="center"/>
          </w:tcPr>
          <w:p w14:paraId="09BA78B8">
            <w:pPr>
              <w:widowControl w:val="0"/>
              <w:snapToGrid w:val="0"/>
              <w:jc w:val="center"/>
              <w:rPr>
                <w:sz w:val="21"/>
                <w:szCs w:val="21"/>
              </w:rPr>
            </w:pPr>
            <w:r>
              <w:rPr>
                <w:rFonts w:hint="eastAsia"/>
                <w:sz w:val="21"/>
                <w:szCs w:val="21"/>
              </w:rPr>
              <w:t>6</w:t>
            </w:r>
          </w:p>
        </w:tc>
        <w:tc>
          <w:tcPr>
            <w:tcW w:w="993" w:type="dxa"/>
            <w:vAlign w:val="center"/>
          </w:tcPr>
          <w:p w14:paraId="24E86A94">
            <w:pPr>
              <w:widowControl w:val="0"/>
              <w:snapToGrid w:val="0"/>
              <w:jc w:val="center"/>
              <w:rPr>
                <w:bCs/>
                <w:sz w:val="21"/>
                <w:szCs w:val="21"/>
              </w:rPr>
            </w:pPr>
            <w:r>
              <w:rPr>
                <w:rFonts w:hint="eastAsia"/>
                <w:bCs/>
                <w:sz w:val="21"/>
                <w:szCs w:val="21"/>
              </w:rPr>
              <w:t>14</w:t>
            </w:r>
          </w:p>
        </w:tc>
        <w:tc>
          <w:tcPr>
            <w:tcW w:w="850" w:type="dxa"/>
            <w:tcBorders>
              <w:right w:val="single" w:color="auto" w:sz="12" w:space="0"/>
            </w:tcBorders>
            <w:vAlign w:val="center"/>
          </w:tcPr>
          <w:p w14:paraId="5A8FC0D0">
            <w:pPr>
              <w:widowControl w:val="0"/>
              <w:snapToGrid w:val="0"/>
              <w:jc w:val="center"/>
              <w:rPr>
                <w:bCs/>
                <w:sz w:val="21"/>
                <w:szCs w:val="21"/>
              </w:rPr>
            </w:pPr>
            <w:r>
              <w:rPr>
                <w:rFonts w:hint="eastAsia"/>
                <w:bCs/>
                <w:sz w:val="21"/>
                <w:szCs w:val="21"/>
              </w:rPr>
              <w:t>20</w:t>
            </w:r>
          </w:p>
        </w:tc>
      </w:tr>
      <w:tr w14:paraId="6D7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609CBB4E">
            <w:pPr>
              <w:widowControl w:val="0"/>
              <w:snapToGrid w:val="0"/>
              <w:jc w:val="center"/>
              <w:rPr>
                <w:sz w:val="21"/>
                <w:szCs w:val="21"/>
              </w:rPr>
            </w:pPr>
            <w:r>
              <w:rPr>
                <w:rFonts w:hint="eastAsia"/>
                <w:sz w:val="21"/>
                <w:szCs w:val="21"/>
              </w:rPr>
              <w:t>3</w:t>
            </w:r>
          </w:p>
        </w:tc>
        <w:tc>
          <w:tcPr>
            <w:tcW w:w="3686" w:type="dxa"/>
            <w:vAlign w:val="center"/>
          </w:tcPr>
          <w:p w14:paraId="308D2B44">
            <w:pPr>
              <w:widowControl w:val="0"/>
              <w:snapToGrid w:val="0"/>
              <w:jc w:val="center"/>
              <w:rPr>
                <w:sz w:val="21"/>
                <w:szCs w:val="21"/>
              </w:rPr>
            </w:pPr>
            <w:r>
              <w:rPr>
                <w:rFonts w:hint="eastAsia"/>
                <w:sz w:val="21"/>
                <w:szCs w:val="21"/>
              </w:rPr>
              <w:t>讲述法、示范教学法、练习教学法；问题导向学习</w:t>
            </w:r>
          </w:p>
        </w:tc>
        <w:tc>
          <w:tcPr>
            <w:tcW w:w="2126" w:type="dxa"/>
            <w:vAlign w:val="center"/>
          </w:tcPr>
          <w:p w14:paraId="6E77DCAB">
            <w:pPr>
              <w:widowControl w:val="0"/>
              <w:snapToGrid w:val="0"/>
              <w:jc w:val="center"/>
              <w:rPr>
                <w:color w:val="000000"/>
                <w:sz w:val="21"/>
                <w:szCs w:val="21"/>
              </w:rPr>
            </w:pPr>
            <w:r>
              <w:rPr>
                <w:rFonts w:hint="eastAsia"/>
                <w:color w:val="000000"/>
                <w:sz w:val="21"/>
                <w:szCs w:val="21"/>
              </w:rPr>
              <w:t>理论测试、</w:t>
            </w:r>
          </w:p>
          <w:p w14:paraId="7F926A9B">
            <w:pPr>
              <w:widowControl w:val="0"/>
              <w:snapToGrid w:val="0"/>
              <w:jc w:val="center"/>
              <w:rPr>
                <w:sz w:val="21"/>
                <w:szCs w:val="21"/>
              </w:rPr>
            </w:pPr>
            <w:r>
              <w:rPr>
                <w:rFonts w:hint="eastAsia"/>
                <w:sz w:val="21"/>
                <w:szCs w:val="21"/>
              </w:rPr>
              <w:t>实训报告</w:t>
            </w:r>
          </w:p>
        </w:tc>
        <w:tc>
          <w:tcPr>
            <w:tcW w:w="992" w:type="dxa"/>
            <w:vAlign w:val="center"/>
          </w:tcPr>
          <w:p w14:paraId="1910BA93">
            <w:pPr>
              <w:widowControl w:val="0"/>
              <w:snapToGrid w:val="0"/>
              <w:jc w:val="center"/>
              <w:rPr>
                <w:sz w:val="21"/>
                <w:szCs w:val="21"/>
              </w:rPr>
            </w:pPr>
            <w:r>
              <w:rPr>
                <w:rFonts w:hint="eastAsia"/>
                <w:sz w:val="21"/>
                <w:szCs w:val="21"/>
              </w:rPr>
              <w:t>4</w:t>
            </w:r>
          </w:p>
        </w:tc>
        <w:tc>
          <w:tcPr>
            <w:tcW w:w="993" w:type="dxa"/>
            <w:vAlign w:val="center"/>
          </w:tcPr>
          <w:p w14:paraId="35BC555A">
            <w:pPr>
              <w:widowControl w:val="0"/>
              <w:snapToGrid w:val="0"/>
              <w:jc w:val="center"/>
              <w:rPr>
                <w:bCs/>
                <w:sz w:val="21"/>
                <w:szCs w:val="21"/>
              </w:rPr>
            </w:pPr>
            <w:r>
              <w:rPr>
                <w:rFonts w:hint="eastAsia"/>
                <w:bCs/>
                <w:sz w:val="21"/>
                <w:szCs w:val="21"/>
              </w:rPr>
              <w:t>8</w:t>
            </w:r>
          </w:p>
        </w:tc>
        <w:tc>
          <w:tcPr>
            <w:tcW w:w="850" w:type="dxa"/>
            <w:tcBorders>
              <w:right w:val="single" w:color="auto" w:sz="12" w:space="0"/>
            </w:tcBorders>
            <w:vAlign w:val="center"/>
          </w:tcPr>
          <w:p w14:paraId="28AC327A">
            <w:pPr>
              <w:widowControl w:val="0"/>
              <w:snapToGrid w:val="0"/>
              <w:jc w:val="center"/>
              <w:rPr>
                <w:bCs/>
                <w:sz w:val="21"/>
                <w:szCs w:val="21"/>
              </w:rPr>
            </w:pPr>
            <w:r>
              <w:rPr>
                <w:rFonts w:hint="eastAsia"/>
                <w:bCs/>
                <w:sz w:val="21"/>
                <w:szCs w:val="21"/>
              </w:rPr>
              <w:t>12</w:t>
            </w:r>
          </w:p>
        </w:tc>
      </w:tr>
      <w:tr w14:paraId="61F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4A1410BB">
            <w:pPr>
              <w:widowControl w:val="0"/>
              <w:snapToGrid w:val="0"/>
              <w:jc w:val="center"/>
              <w:rPr>
                <w:sz w:val="21"/>
                <w:szCs w:val="21"/>
              </w:rPr>
            </w:pPr>
            <w:r>
              <w:rPr>
                <w:rFonts w:hint="eastAsia"/>
                <w:sz w:val="21"/>
                <w:szCs w:val="21"/>
              </w:rPr>
              <w:t>4</w:t>
            </w:r>
          </w:p>
        </w:tc>
        <w:tc>
          <w:tcPr>
            <w:tcW w:w="3686" w:type="dxa"/>
            <w:vAlign w:val="center"/>
          </w:tcPr>
          <w:p w14:paraId="31B39E58">
            <w:pPr>
              <w:widowControl w:val="0"/>
              <w:snapToGrid w:val="0"/>
              <w:jc w:val="center"/>
              <w:rPr>
                <w:sz w:val="21"/>
                <w:szCs w:val="21"/>
              </w:rPr>
            </w:pPr>
            <w:r>
              <w:rPr>
                <w:rFonts w:hint="eastAsia"/>
                <w:sz w:val="21"/>
                <w:szCs w:val="21"/>
              </w:rPr>
              <w:t>讲述法、讨论法；问题导向学习</w:t>
            </w:r>
          </w:p>
        </w:tc>
        <w:tc>
          <w:tcPr>
            <w:tcW w:w="2126" w:type="dxa"/>
            <w:vAlign w:val="center"/>
          </w:tcPr>
          <w:p w14:paraId="13CB926A">
            <w:pPr>
              <w:widowControl w:val="0"/>
              <w:snapToGrid w:val="0"/>
              <w:jc w:val="center"/>
              <w:rPr>
                <w:sz w:val="21"/>
                <w:szCs w:val="21"/>
              </w:rPr>
            </w:pPr>
            <w:r>
              <w:rPr>
                <w:rFonts w:hint="eastAsia"/>
                <w:color w:val="000000"/>
                <w:sz w:val="21"/>
                <w:szCs w:val="21"/>
              </w:rPr>
              <w:t>理论测试</w:t>
            </w:r>
          </w:p>
        </w:tc>
        <w:tc>
          <w:tcPr>
            <w:tcW w:w="992" w:type="dxa"/>
            <w:vAlign w:val="center"/>
          </w:tcPr>
          <w:p w14:paraId="3D5E32BC">
            <w:pPr>
              <w:widowControl w:val="0"/>
              <w:snapToGrid w:val="0"/>
              <w:jc w:val="center"/>
              <w:rPr>
                <w:sz w:val="21"/>
                <w:szCs w:val="21"/>
              </w:rPr>
            </w:pPr>
            <w:r>
              <w:rPr>
                <w:rFonts w:hint="eastAsia"/>
                <w:sz w:val="21"/>
                <w:szCs w:val="21"/>
              </w:rPr>
              <w:t>2</w:t>
            </w:r>
          </w:p>
        </w:tc>
        <w:tc>
          <w:tcPr>
            <w:tcW w:w="993" w:type="dxa"/>
            <w:vAlign w:val="center"/>
          </w:tcPr>
          <w:p w14:paraId="05C6BD6B">
            <w:pPr>
              <w:widowControl w:val="0"/>
              <w:snapToGrid w:val="0"/>
              <w:jc w:val="center"/>
              <w:rPr>
                <w:bCs/>
                <w:sz w:val="21"/>
                <w:szCs w:val="21"/>
              </w:rPr>
            </w:pPr>
            <w:r>
              <w:rPr>
                <w:rFonts w:hint="eastAsia"/>
                <w:bCs/>
                <w:sz w:val="21"/>
                <w:szCs w:val="21"/>
              </w:rPr>
              <w:t>0</w:t>
            </w:r>
          </w:p>
        </w:tc>
        <w:tc>
          <w:tcPr>
            <w:tcW w:w="850" w:type="dxa"/>
            <w:tcBorders>
              <w:right w:val="single" w:color="auto" w:sz="12" w:space="0"/>
            </w:tcBorders>
            <w:vAlign w:val="center"/>
          </w:tcPr>
          <w:p w14:paraId="0C7FCE50">
            <w:pPr>
              <w:widowControl w:val="0"/>
              <w:snapToGrid w:val="0"/>
              <w:jc w:val="center"/>
              <w:rPr>
                <w:bCs/>
                <w:sz w:val="21"/>
                <w:szCs w:val="21"/>
              </w:rPr>
            </w:pPr>
            <w:r>
              <w:rPr>
                <w:rFonts w:hint="eastAsia"/>
                <w:bCs/>
                <w:sz w:val="21"/>
                <w:szCs w:val="21"/>
              </w:rPr>
              <w:t>2</w:t>
            </w:r>
          </w:p>
        </w:tc>
      </w:tr>
      <w:tr w14:paraId="7DEF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564F2CD6">
            <w:pPr>
              <w:widowControl w:val="0"/>
              <w:snapToGrid w:val="0"/>
              <w:jc w:val="center"/>
              <w:rPr>
                <w:sz w:val="21"/>
                <w:szCs w:val="21"/>
              </w:rPr>
            </w:pPr>
            <w:r>
              <w:rPr>
                <w:rFonts w:hint="eastAsia"/>
                <w:sz w:val="21"/>
                <w:szCs w:val="21"/>
              </w:rPr>
              <w:t>5</w:t>
            </w:r>
          </w:p>
        </w:tc>
        <w:tc>
          <w:tcPr>
            <w:tcW w:w="3686" w:type="dxa"/>
            <w:vAlign w:val="center"/>
          </w:tcPr>
          <w:p w14:paraId="05E64EE0">
            <w:pPr>
              <w:widowControl w:val="0"/>
              <w:snapToGrid w:val="0"/>
              <w:jc w:val="center"/>
              <w:rPr>
                <w:sz w:val="21"/>
                <w:szCs w:val="21"/>
              </w:rPr>
            </w:pPr>
            <w:r>
              <w:rPr>
                <w:rFonts w:hint="eastAsia"/>
                <w:sz w:val="21"/>
                <w:szCs w:val="21"/>
              </w:rPr>
              <w:t>讲述法、示范教学法、练习教学法；问题导向学习</w:t>
            </w:r>
          </w:p>
        </w:tc>
        <w:tc>
          <w:tcPr>
            <w:tcW w:w="2126" w:type="dxa"/>
            <w:vAlign w:val="center"/>
          </w:tcPr>
          <w:p w14:paraId="6DECCFF1">
            <w:pPr>
              <w:widowControl w:val="0"/>
              <w:snapToGrid w:val="0"/>
              <w:jc w:val="center"/>
              <w:rPr>
                <w:color w:val="000000"/>
                <w:sz w:val="21"/>
                <w:szCs w:val="21"/>
              </w:rPr>
            </w:pPr>
            <w:r>
              <w:rPr>
                <w:rFonts w:hint="eastAsia"/>
                <w:color w:val="000000"/>
                <w:sz w:val="21"/>
                <w:szCs w:val="21"/>
              </w:rPr>
              <w:t>理论测试、</w:t>
            </w:r>
          </w:p>
          <w:p w14:paraId="5F6A4CB0">
            <w:pPr>
              <w:widowControl w:val="0"/>
              <w:snapToGrid w:val="0"/>
              <w:jc w:val="center"/>
              <w:rPr>
                <w:sz w:val="21"/>
                <w:szCs w:val="21"/>
              </w:rPr>
            </w:pPr>
            <w:r>
              <w:rPr>
                <w:rFonts w:hint="eastAsia"/>
                <w:sz w:val="21"/>
                <w:szCs w:val="21"/>
              </w:rPr>
              <w:t>实训报告</w:t>
            </w:r>
          </w:p>
        </w:tc>
        <w:tc>
          <w:tcPr>
            <w:tcW w:w="992" w:type="dxa"/>
            <w:vAlign w:val="center"/>
          </w:tcPr>
          <w:p w14:paraId="4567BAB0">
            <w:pPr>
              <w:widowControl w:val="0"/>
              <w:snapToGrid w:val="0"/>
              <w:jc w:val="center"/>
              <w:rPr>
                <w:sz w:val="21"/>
                <w:szCs w:val="21"/>
              </w:rPr>
            </w:pPr>
            <w:r>
              <w:rPr>
                <w:rFonts w:hint="eastAsia"/>
                <w:sz w:val="21"/>
                <w:szCs w:val="21"/>
              </w:rPr>
              <w:t>2</w:t>
            </w:r>
          </w:p>
        </w:tc>
        <w:tc>
          <w:tcPr>
            <w:tcW w:w="993" w:type="dxa"/>
            <w:vAlign w:val="center"/>
          </w:tcPr>
          <w:p w14:paraId="682CA32D">
            <w:pPr>
              <w:widowControl w:val="0"/>
              <w:snapToGrid w:val="0"/>
              <w:jc w:val="center"/>
              <w:rPr>
                <w:bCs/>
                <w:sz w:val="21"/>
                <w:szCs w:val="21"/>
              </w:rPr>
            </w:pPr>
            <w:r>
              <w:rPr>
                <w:rFonts w:hint="eastAsia"/>
                <w:bCs/>
                <w:sz w:val="21"/>
                <w:szCs w:val="21"/>
              </w:rPr>
              <w:t>8</w:t>
            </w:r>
          </w:p>
        </w:tc>
        <w:tc>
          <w:tcPr>
            <w:tcW w:w="850" w:type="dxa"/>
            <w:tcBorders>
              <w:right w:val="single" w:color="auto" w:sz="12" w:space="0"/>
            </w:tcBorders>
            <w:vAlign w:val="center"/>
          </w:tcPr>
          <w:p w14:paraId="14E75984">
            <w:pPr>
              <w:widowControl w:val="0"/>
              <w:snapToGrid w:val="0"/>
              <w:jc w:val="center"/>
              <w:rPr>
                <w:bCs/>
                <w:sz w:val="21"/>
                <w:szCs w:val="21"/>
              </w:rPr>
            </w:pPr>
            <w:r>
              <w:rPr>
                <w:rFonts w:hint="eastAsia"/>
                <w:bCs/>
                <w:sz w:val="21"/>
                <w:szCs w:val="21"/>
              </w:rPr>
              <w:t>10</w:t>
            </w:r>
          </w:p>
        </w:tc>
      </w:tr>
      <w:tr w14:paraId="462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328E8222">
            <w:pPr>
              <w:widowControl w:val="0"/>
              <w:snapToGrid w:val="0"/>
              <w:jc w:val="center"/>
              <w:rPr>
                <w:sz w:val="21"/>
                <w:szCs w:val="21"/>
              </w:rPr>
            </w:pPr>
            <w:r>
              <w:rPr>
                <w:rFonts w:hint="eastAsia"/>
                <w:sz w:val="21"/>
                <w:szCs w:val="21"/>
              </w:rPr>
              <w:t>6</w:t>
            </w:r>
          </w:p>
        </w:tc>
        <w:tc>
          <w:tcPr>
            <w:tcW w:w="3686" w:type="dxa"/>
            <w:vAlign w:val="center"/>
          </w:tcPr>
          <w:p w14:paraId="1254BB3E">
            <w:pPr>
              <w:widowControl w:val="0"/>
              <w:snapToGrid w:val="0"/>
              <w:jc w:val="center"/>
              <w:rPr>
                <w:sz w:val="21"/>
                <w:szCs w:val="21"/>
              </w:rPr>
            </w:pPr>
            <w:r>
              <w:rPr>
                <w:rFonts w:hint="eastAsia"/>
                <w:sz w:val="21"/>
                <w:szCs w:val="21"/>
              </w:rPr>
              <w:t>讲述法、讨论法；问题导向学习</w:t>
            </w:r>
          </w:p>
        </w:tc>
        <w:tc>
          <w:tcPr>
            <w:tcW w:w="2126" w:type="dxa"/>
            <w:vAlign w:val="center"/>
          </w:tcPr>
          <w:p w14:paraId="77A8F7A6">
            <w:pPr>
              <w:widowControl w:val="0"/>
              <w:snapToGrid w:val="0"/>
              <w:jc w:val="center"/>
              <w:rPr>
                <w:sz w:val="21"/>
                <w:szCs w:val="21"/>
              </w:rPr>
            </w:pPr>
            <w:r>
              <w:rPr>
                <w:rFonts w:hint="eastAsia"/>
                <w:sz w:val="21"/>
                <w:szCs w:val="21"/>
              </w:rPr>
              <w:t>理论测试、</w:t>
            </w:r>
          </w:p>
          <w:p w14:paraId="155851CC">
            <w:pPr>
              <w:widowControl w:val="0"/>
              <w:snapToGrid w:val="0"/>
              <w:jc w:val="center"/>
              <w:rPr>
                <w:sz w:val="21"/>
                <w:szCs w:val="21"/>
              </w:rPr>
            </w:pPr>
            <w:r>
              <w:rPr>
                <w:rFonts w:hint="eastAsia"/>
                <w:sz w:val="21"/>
                <w:szCs w:val="21"/>
              </w:rPr>
              <w:t>实训报告</w:t>
            </w:r>
          </w:p>
        </w:tc>
        <w:tc>
          <w:tcPr>
            <w:tcW w:w="992" w:type="dxa"/>
            <w:vAlign w:val="center"/>
          </w:tcPr>
          <w:p w14:paraId="06A4E012">
            <w:pPr>
              <w:widowControl w:val="0"/>
              <w:snapToGrid w:val="0"/>
              <w:jc w:val="center"/>
              <w:rPr>
                <w:sz w:val="21"/>
                <w:szCs w:val="21"/>
              </w:rPr>
            </w:pPr>
            <w:r>
              <w:rPr>
                <w:rFonts w:hint="eastAsia"/>
                <w:sz w:val="21"/>
                <w:szCs w:val="21"/>
              </w:rPr>
              <w:t>2</w:t>
            </w:r>
          </w:p>
        </w:tc>
        <w:tc>
          <w:tcPr>
            <w:tcW w:w="993" w:type="dxa"/>
            <w:vAlign w:val="center"/>
          </w:tcPr>
          <w:p w14:paraId="5A122963">
            <w:pPr>
              <w:widowControl w:val="0"/>
              <w:snapToGrid w:val="0"/>
              <w:jc w:val="center"/>
              <w:rPr>
                <w:bCs/>
                <w:sz w:val="21"/>
                <w:szCs w:val="21"/>
              </w:rPr>
            </w:pPr>
            <w:r>
              <w:rPr>
                <w:rFonts w:hint="eastAsia"/>
                <w:bCs/>
                <w:sz w:val="21"/>
                <w:szCs w:val="21"/>
              </w:rPr>
              <w:t>0</w:t>
            </w:r>
          </w:p>
        </w:tc>
        <w:tc>
          <w:tcPr>
            <w:tcW w:w="850" w:type="dxa"/>
            <w:tcBorders>
              <w:right w:val="single" w:color="auto" w:sz="12" w:space="0"/>
            </w:tcBorders>
            <w:vAlign w:val="center"/>
          </w:tcPr>
          <w:p w14:paraId="7ABEA263">
            <w:pPr>
              <w:widowControl w:val="0"/>
              <w:snapToGrid w:val="0"/>
              <w:jc w:val="center"/>
              <w:rPr>
                <w:bCs/>
                <w:sz w:val="21"/>
                <w:szCs w:val="21"/>
              </w:rPr>
            </w:pPr>
            <w:r>
              <w:rPr>
                <w:rFonts w:hint="eastAsia"/>
                <w:bCs/>
                <w:sz w:val="21"/>
                <w:szCs w:val="21"/>
              </w:rPr>
              <w:t>2</w:t>
            </w:r>
          </w:p>
        </w:tc>
      </w:tr>
      <w:tr w14:paraId="32DD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284F7462">
            <w:pPr>
              <w:widowControl w:val="0"/>
              <w:snapToGrid w:val="0"/>
              <w:jc w:val="center"/>
              <w:rPr>
                <w:sz w:val="21"/>
                <w:szCs w:val="21"/>
              </w:rPr>
            </w:pPr>
            <w:r>
              <w:rPr>
                <w:rFonts w:hint="eastAsia"/>
                <w:sz w:val="21"/>
                <w:szCs w:val="21"/>
              </w:rPr>
              <w:t>7</w:t>
            </w:r>
          </w:p>
        </w:tc>
        <w:tc>
          <w:tcPr>
            <w:tcW w:w="3686" w:type="dxa"/>
            <w:vAlign w:val="center"/>
          </w:tcPr>
          <w:p w14:paraId="7FD091FB">
            <w:pPr>
              <w:widowControl w:val="0"/>
              <w:snapToGrid w:val="0"/>
              <w:jc w:val="center"/>
              <w:rPr>
                <w:sz w:val="21"/>
                <w:szCs w:val="21"/>
              </w:rPr>
            </w:pPr>
            <w:r>
              <w:rPr>
                <w:rFonts w:hint="eastAsia"/>
                <w:sz w:val="21"/>
                <w:szCs w:val="21"/>
              </w:rPr>
              <w:t>讲述法、讨论法；问题导向学习</w:t>
            </w:r>
          </w:p>
        </w:tc>
        <w:tc>
          <w:tcPr>
            <w:tcW w:w="2126" w:type="dxa"/>
            <w:vAlign w:val="center"/>
          </w:tcPr>
          <w:p w14:paraId="530CBD99">
            <w:pPr>
              <w:widowControl w:val="0"/>
              <w:snapToGrid w:val="0"/>
              <w:jc w:val="center"/>
              <w:rPr>
                <w:sz w:val="21"/>
                <w:szCs w:val="21"/>
              </w:rPr>
            </w:pPr>
            <w:r>
              <w:rPr>
                <w:rFonts w:hint="eastAsia"/>
                <w:color w:val="000000"/>
                <w:sz w:val="21"/>
                <w:szCs w:val="21"/>
              </w:rPr>
              <w:t>理论测试</w:t>
            </w:r>
          </w:p>
        </w:tc>
        <w:tc>
          <w:tcPr>
            <w:tcW w:w="992" w:type="dxa"/>
            <w:vAlign w:val="center"/>
          </w:tcPr>
          <w:p w14:paraId="26BA5647">
            <w:pPr>
              <w:widowControl w:val="0"/>
              <w:snapToGrid w:val="0"/>
              <w:jc w:val="center"/>
              <w:rPr>
                <w:sz w:val="21"/>
                <w:szCs w:val="21"/>
              </w:rPr>
            </w:pPr>
            <w:r>
              <w:rPr>
                <w:rFonts w:hint="eastAsia"/>
                <w:sz w:val="21"/>
                <w:szCs w:val="21"/>
              </w:rPr>
              <w:t>2</w:t>
            </w:r>
          </w:p>
        </w:tc>
        <w:tc>
          <w:tcPr>
            <w:tcW w:w="993" w:type="dxa"/>
            <w:vAlign w:val="center"/>
          </w:tcPr>
          <w:p w14:paraId="6C9EF53E">
            <w:pPr>
              <w:widowControl w:val="0"/>
              <w:snapToGrid w:val="0"/>
              <w:jc w:val="center"/>
              <w:rPr>
                <w:bCs/>
                <w:sz w:val="21"/>
                <w:szCs w:val="21"/>
              </w:rPr>
            </w:pPr>
            <w:r>
              <w:rPr>
                <w:rFonts w:hint="eastAsia"/>
                <w:bCs/>
                <w:sz w:val="21"/>
                <w:szCs w:val="21"/>
              </w:rPr>
              <w:t>0</w:t>
            </w:r>
          </w:p>
        </w:tc>
        <w:tc>
          <w:tcPr>
            <w:tcW w:w="850" w:type="dxa"/>
            <w:tcBorders>
              <w:right w:val="single" w:color="auto" w:sz="12" w:space="0"/>
            </w:tcBorders>
            <w:vAlign w:val="center"/>
          </w:tcPr>
          <w:p w14:paraId="350055D2">
            <w:pPr>
              <w:widowControl w:val="0"/>
              <w:snapToGrid w:val="0"/>
              <w:jc w:val="center"/>
              <w:rPr>
                <w:bCs/>
                <w:sz w:val="21"/>
                <w:szCs w:val="21"/>
              </w:rPr>
            </w:pPr>
            <w:r>
              <w:rPr>
                <w:rFonts w:hint="eastAsia"/>
                <w:bCs/>
                <w:sz w:val="21"/>
                <w:szCs w:val="21"/>
              </w:rPr>
              <w:t>2</w:t>
            </w:r>
          </w:p>
        </w:tc>
      </w:tr>
      <w:tr w14:paraId="309F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9" w:type="dxa"/>
            <w:tcBorders>
              <w:left w:val="single" w:color="auto" w:sz="12" w:space="0"/>
            </w:tcBorders>
            <w:vAlign w:val="center"/>
          </w:tcPr>
          <w:p w14:paraId="6F2616E1">
            <w:pPr>
              <w:widowControl w:val="0"/>
              <w:snapToGrid w:val="0"/>
              <w:jc w:val="center"/>
              <w:rPr>
                <w:sz w:val="21"/>
                <w:szCs w:val="21"/>
              </w:rPr>
            </w:pPr>
            <w:r>
              <w:rPr>
                <w:rFonts w:hint="eastAsia"/>
                <w:sz w:val="21"/>
                <w:szCs w:val="21"/>
              </w:rPr>
              <w:t>8</w:t>
            </w:r>
          </w:p>
        </w:tc>
        <w:tc>
          <w:tcPr>
            <w:tcW w:w="3686" w:type="dxa"/>
            <w:vAlign w:val="center"/>
          </w:tcPr>
          <w:p w14:paraId="3063B9A9">
            <w:pPr>
              <w:widowControl w:val="0"/>
              <w:snapToGrid w:val="0"/>
              <w:jc w:val="center"/>
              <w:rPr>
                <w:sz w:val="21"/>
                <w:szCs w:val="21"/>
              </w:rPr>
            </w:pPr>
            <w:r>
              <w:rPr>
                <w:rFonts w:hint="eastAsia"/>
                <w:sz w:val="21"/>
                <w:szCs w:val="21"/>
              </w:rPr>
              <w:t>讲述法、示范教学法、练习教学法；问题导向学习</w:t>
            </w:r>
          </w:p>
        </w:tc>
        <w:tc>
          <w:tcPr>
            <w:tcW w:w="2126" w:type="dxa"/>
            <w:vAlign w:val="center"/>
          </w:tcPr>
          <w:p w14:paraId="78ED2F2F">
            <w:pPr>
              <w:widowControl w:val="0"/>
              <w:snapToGrid w:val="0"/>
              <w:jc w:val="center"/>
              <w:rPr>
                <w:sz w:val="21"/>
                <w:szCs w:val="21"/>
              </w:rPr>
            </w:pPr>
            <w:r>
              <w:rPr>
                <w:rFonts w:hint="eastAsia"/>
                <w:sz w:val="21"/>
                <w:szCs w:val="21"/>
              </w:rPr>
              <w:t>理论测试、</w:t>
            </w:r>
          </w:p>
          <w:p w14:paraId="3F86795D">
            <w:pPr>
              <w:widowControl w:val="0"/>
              <w:snapToGrid w:val="0"/>
              <w:jc w:val="center"/>
              <w:rPr>
                <w:sz w:val="21"/>
                <w:szCs w:val="21"/>
              </w:rPr>
            </w:pPr>
            <w:r>
              <w:rPr>
                <w:rFonts w:hint="eastAsia"/>
                <w:sz w:val="21"/>
                <w:szCs w:val="21"/>
              </w:rPr>
              <w:t>实训报告、</w:t>
            </w:r>
          </w:p>
          <w:p w14:paraId="6B5CFB36">
            <w:pPr>
              <w:widowControl w:val="0"/>
              <w:snapToGrid w:val="0"/>
              <w:jc w:val="center"/>
              <w:rPr>
                <w:sz w:val="21"/>
                <w:szCs w:val="21"/>
              </w:rPr>
            </w:pPr>
            <w:r>
              <w:rPr>
                <w:rFonts w:hint="eastAsia"/>
                <w:sz w:val="21"/>
                <w:szCs w:val="21"/>
              </w:rPr>
              <w:t>实践操作考核</w:t>
            </w:r>
          </w:p>
        </w:tc>
        <w:tc>
          <w:tcPr>
            <w:tcW w:w="992" w:type="dxa"/>
            <w:vAlign w:val="center"/>
          </w:tcPr>
          <w:p w14:paraId="792C0FEC">
            <w:pPr>
              <w:widowControl w:val="0"/>
              <w:snapToGrid w:val="0"/>
              <w:jc w:val="center"/>
              <w:rPr>
                <w:sz w:val="21"/>
                <w:szCs w:val="21"/>
              </w:rPr>
            </w:pPr>
            <w:r>
              <w:rPr>
                <w:rFonts w:hint="eastAsia"/>
                <w:sz w:val="21"/>
                <w:szCs w:val="21"/>
              </w:rPr>
              <w:t>4</w:t>
            </w:r>
          </w:p>
        </w:tc>
        <w:tc>
          <w:tcPr>
            <w:tcW w:w="993" w:type="dxa"/>
            <w:vAlign w:val="center"/>
          </w:tcPr>
          <w:p w14:paraId="683A1F3B">
            <w:pPr>
              <w:widowControl w:val="0"/>
              <w:snapToGrid w:val="0"/>
              <w:jc w:val="center"/>
              <w:rPr>
                <w:bCs/>
                <w:sz w:val="21"/>
                <w:szCs w:val="21"/>
              </w:rPr>
            </w:pPr>
            <w:r>
              <w:rPr>
                <w:rFonts w:hint="eastAsia"/>
                <w:bCs/>
                <w:sz w:val="21"/>
                <w:szCs w:val="21"/>
              </w:rPr>
              <w:t>10</w:t>
            </w:r>
          </w:p>
        </w:tc>
        <w:tc>
          <w:tcPr>
            <w:tcW w:w="850" w:type="dxa"/>
            <w:tcBorders>
              <w:right w:val="single" w:color="auto" w:sz="12" w:space="0"/>
            </w:tcBorders>
            <w:vAlign w:val="center"/>
          </w:tcPr>
          <w:p w14:paraId="5CAFAEC6">
            <w:pPr>
              <w:widowControl w:val="0"/>
              <w:snapToGrid w:val="0"/>
              <w:jc w:val="center"/>
              <w:rPr>
                <w:bCs/>
                <w:sz w:val="21"/>
                <w:szCs w:val="21"/>
              </w:rPr>
            </w:pPr>
            <w:r>
              <w:rPr>
                <w:rFonts w:hint="eastAsia"/>
                <w:bCs/>
                <w:sz w:val="21"/>
                <w:szCs w:val="21"/>
              </w:rPr>
              <w:t>14</w:t>
            </w:r>
          </w:p>
        </w:tc>
      </w:tr>
      <w:tr w14:paraId="4FC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7331" w:type="dxa"/>
            <w:gridSpan w:val="3"/>
            <w:tcBorders>
              <w:left w:val="single" w:color="auto" w:sz="12" w:space="0"/>
            </w:tcBorders>
            <w:vAlign w:val="center"/>
          </w:tcPr>
          <w:p w14:paraId="383D13A5">
            <w:pPr>
              <w:widowControl w:val="0"/>
              <w:snapToGrid w:val="0"/>
              <w:jc w:val="center"/>
              <w:rPr>
                <w:sz w:val="21"/>
                <w:szCs w:val="21"/>
              </w:rPr>
            </w:pPr>
            <w:r>
              <w:rPr>
                <w:rFonts w:hint="eastAsia"/>
                <w:bCs/>
                <w:color w:val="000000"/>
                <w:sz w:val="21"/>
                <w:szCs w:val="21"/>
              </w:rPr>
              <w:t>合计</w:t>
            </w:r>
          </w:p>
        </w:tc>
        <w:tc>
          <w:tcPr>
            <w:tcW w:w="992" w:type="dxa"/>
            <w:vAlign w:val="center"/>
          </w:tcPr>
          <w:p w14:paraId="62613EB3">
            <w:pPr>
              <w:widowControl w:val="0"/>
              <w:snapToGrid w:val="0"/>
              <w:jc w:val="center"/>
              <w:rPr>
                <w:sz w:val="21"/>
                <w:szCs w:val="21"/>
              </w:rPr>
            </w:pPr>
            <w:r>
              <w:rPr>
                <w:rFonts w:hint="eastAsia"/>
                <w:sz w:val="21"/>
                <w:szCs w:val="21"/>
              </w:rPr>
              <w:t>24</w:t>
            </w:r>
          </w:p>
        </w:tc>
        <w:tc>
          <w:tcPr>
            <w:tcW w:w="993" w:type="dxa"/>
            <w:vAlign w:val="center"/>
          </w:tcPr>
          <w:p w14:paraId="28C89460">
            <w:pPr>
              <w:widowControl w:val="0"/>
              <w:snapToGrid w:val="0"/>
              <w:jc w:val="center"/>
              <w:rPr>
                <w:bCs/>
                <w:sz w:val="21"/>
                <w:szCs w:val="21"/>
              </w:rPr>
            </w:pPr>
            <w:r>
              <w:rPr>
                <w:rFonts w:hint="eastAsia"/>
                <w:bCs/>
                <w:sz w:val="21"/>
                <w:szCs w:val="21"/>
              </w:rPr>
              <w:t>40</w:t>
            </w:r>
          </w:p>
        </w:tc>
        <w:tc>
          <w:tcPr>
            <w:tcW w:w="850" w:type="dxa"/>
            <w:tcBorders>
              <w:right w:val="single" w:color="auto" w:sz="12" w:space="0"/>
            </w:tcBorders>
            <w:vAlign w:val="center"/>
          </w:tcPr>
          <w:p w14:paraId="047F1538">
            <w:pPr>
              <w:widowControl w:val="0"/>
              <w:snapToGrid w:val="0"/>
              <w:jc w:val="center"/>
              <w:rPr>
                <w:bCs/>
                <w:sz w:val="21"/>
                <w:szCs w:val="21"/>
              </w:rPr>
            </w:pPr>
            <w:r>
              <w:rPr>
                <w:rFonts w:hint="eastAsia"/>
                <w:bCs/>
                <w:sz w:val="21"/>
                <w:szCs w:val="21"/>
              </w:rPr>
              <w:t>64</w:t>
            </w:r>
          </w:p>
        </w:tc>
      </w:tr>
    </w:tbl>
    <w:p w14:paraId="46F8D258">
      <w:pPr>
        <w:pStyle w:val="20"/>
        <w:spacing w:before="326" w:beforeLines="100" w:after="163"/>
      </w:pPr>
      <w:r>
        <w:rPr>
          <w:rFonts w:hint="eastAsia"/>
        </w:rPr>
        <w:t>（四）课内实验项目与基本要求</w:t>
      </w:r>
    </w:p>
    <w:tbl>
      <w:tblPr>
        <w:tblStyle w:val="9"/>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9"/>
        <w:gridCol w:w="2362"/>
        <w:gridCol w:w="5096"/>
        <w:gridCol w:w="1082"/>
        <w:gridCol w:w="989"/>
      </w:tblGrid>
      <w:tr w14:paraId="0457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12" w:space="0"/>
              <w:left w:val="single" w:color="auto" w:sz="12" w:space="0"/>
              <w:bottom w:val="single" w:color="auto" w:sz="4" w:space="0"/>
              <w:right w:val="single" w:color="auto" w:sz="4" w:space="0"/>
            </w:tcBorders>
            <w:shd w:val="clear" w:color="auto" w:fill="auto"/>
            <w:vAlign w:val="center"/>
          </w:tcPr>
          <w:p w14:paraId="6253AA03">
            <w:pPr>
              <w:pStyle w:val="16"/>
              <w:rPr>
                <w:szCs w:val="16"/>
              </w:rPr>
            </w:pPr>
            <w:r>
              <w:rPr>
                <w:rFonts w:hint="eastAsia"/>
                <w:szCs w:val="16"/>
              </w:rPr>
              <w:t>序号</w:t>
            </w:r>
          </w:p>
        </w:tc>
        <w:tc>
          <w:tcPr>
            <w:tcW w:w="2362" w:type="dxa"/>
            <w:tcBorders>
              <w:top w:val="single" w:color="auto" w:sz="12" w:space="0"/>
              <w:left w:val="single" w:color="auto" w:sz="4" w:space="0"/>
              <w:bottom w:val="single" w:color="auto" w:sz="4" w:space="0"/>
              <w:right w:val="single" w:color="auto" w:sz="4" w:space="0"/>
            </w:tcBorders>
            <w:shd w:val="clear" w:color="auto" w:fill="auto"/>
            <w:vAlign w:val="center"/>
          </w:tcPr>
          <w:p w14:paraId="21ACAE5A">
            <w:pPr>
              <w:pStyle w:val="16"/>
              <w:rPr>
                <w:szCs w:val="16"/>
              </w:rPr>
            </w:pPr>
            <w:r>
              <w:rPr>
                <w:rFonts w:hint="eastAsia"/>
                <w:szCs w:val="16"/>
              </w:rPr>
              <w:t>实验项目名称</w:t>
            </w:r>
          </w:p>
        </w:tc>
        <w:tc>
          <w:tcPr>
            <w:tcW w:w="5096" w:type="dxa"/>
            <w:tcBorders>
              <w:top w:val="single" w:color="auto" w:sz="12" w:space="0"/>
              <w:left w:val="single" w:color="auto" w:sz="4" w:space="0"/>
              <w:bottom w:val="single" w:color="auto" w:sz="4" w:space="0"/>
              <w:right w:val="single" w:color="auto" w:sz="4" w:space="0"/>
            </w:tcBorders>
            <w:vAlign w:val="center"/>
          </w:tcPr>
          <w:p w14:paraId="5B66F197">
            <w:pPr>
              <w:pStyle w:val="16"/>
              <w:rPr>
                <w:szCs w:val="16"/>
              </w:rPr>
            </w:pPr>
            <w:r>
              <w:rPr>
                <w:rFonts w:hint="eastAsia" w:ascii="黑体" w:hAnsi="宋体"/>
                <w:szCs w:val="16"/>
              </w:rPr>
              <w:t>目标要求与</w:t>
            </w:r>
            <w:r>
              <w:rPr>
                <w:rFonts w:hint="eastAsia"/>
                <w:szCs w:val="16"/>
              </w:rPr>
              <w:t>主要内容</w:t>
            </w:r>
          </w:p>
        </w:tc>
        <w:tc>
          <w:tcPr>
            <w:tcW w:w="1082" w:type="dxa"/>
            <w:tcBorders>
              <w:top w:val="single" w:color="auto" w:sz="12" w:space="0"/>
              <w:left w:val="single" w:color="auto" w:sz="4" w:space="0"/>
              <w:right w:val="single" w:color="auto" w:sz="4" w:space="0"/>
            </w:tcBorders>
            <w:shd w:val="clear" w:color="auto" w:fill="auto"/>
            <w:vAlign w:val="center"/>
          </w:tcPr>
          <w:p w14:paraId="10CB9ED2">
            <w:pPr>
              <w:pStyle w:val="16"/>
              <w:rPr>
                <w:szCs w:val="16"/>
              </w:rPr>
            </w:pPr>
            <w:r>
              <w:rPr>
                <w:rFonts w:hint="eastAsia"/>
                <w:szCs w:val="16"/>
              </w:rPr>
              <w:t>实验</w:t>
            </w:r>
          </w:p>
          <w:p w14:paraId="4E00A0C8">
            <w:pPr>
              <w:pStyle w:val="16"/>
              <w:rPr>
                <w:szCs w:val="16"/>
              </w:rPr>
            </w:pPr>
            <w:r>
              <w:rPr>
                <w:rFonts w:hint="eastAsia"/>
                <w:szCs w:val="16"/>
              </w:rPr>
              <w:t>时数</w:t>
            </w:r>
          </w:p>
        </w:tc>
        <w:tc>
          <w:tcPr>
            <w:tcW w:w="989" w:type="dxa"/>
            <w:tcBorders>
              <w:top w:val="single" w:color="auto" w:sz="12" w:space="0"/>
              <w:left w:val="single" w:color="auto" w:sz="4" w:space="0"/>
              <w:right w:val="single" w:color="auto" w:sz="12" w:space="0"/>
            </w:tcBorders>
            <w:shd w:val="clear" w:color="auto" w:fill="auto"/>
            <w:vAlign w:val="center"/>
          </w:tcPr>
          <w:p w14:paraId="19B85FEA">
            <w:pPr>
              <w:pStyle w:val="16"/>
              <w:rPr>
                <w:szCs w:val="16"/>
              </w:rPr>
            </w:pPr>
            <w:r>
              <w:rPr>
                <w:rFonts w:hint="eastAsia"/>
                <w:szCs w:val="16"/>
              </w:rPr>
              <w:t>实验</w:t>
            </w:r>
          </w:p>
          <w:p w14:paraId="61996AE9">
            <w:pPr>
              <w:pStyle w:val="16"/>
              <w:rPr>
                <w:szCs w:val="16"/>
              </w:rPr>
            </w:pPr>
            <w:r>
              <w:rPr>
                <w:rFonts w:hint="eastAsia"/>
                <w:szCs w:val="16"/>
              </w:rPr>
              <w:t>类型</w:t>
            </w:r>
          </w:p>
        </w:tc>
      </w:tr>
      <w:tr w14:paraId="33FD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249206EA">
            <w:pPr>
              <w:pStyle w:val="17"/>
            </w:pPr>
            <w:r>
              <w:rPr>
                <w:rFonts w:hint="eastAsia"/>
              </w:rPr>
              <w:t>1</w:t>
            </w:r>
          </w:p>
        </w:tc>
        <w:tc>
          <w:tcPr>
            <w:tcW w:w="2362" w:type="dxa"/>
            <w:vAlign w:val="center"/>
          </w:tcPr>
          <w:p w14:paraId="28FD405D">
            <w:pPr>
              <w:pStyle w:val="17"/>
            </w:pPr>
            <w:r>
              <w:rPr>
                <w:rFonts w:hint="eastAsia" w:ascii="宋体"/>
                <w:bCs/>
                <w:sz w:val="20"/>
              </w:rPr>
              <w:t xml:space="preserve"> </w:t>
            </w:r>
            <w:r>
              <w:t>手卫生，无菌技术基本操作</w:t>
            </w:r>
          </w:p>
        </w:tc>
        <w:tc>
          <w:tcPr>
            <w:tcW w:w="5096" w:type="dxa"/>
            <w:vAlign w:val="center"/>
          </w:tcPr>
          <w:p w14:paraId="61B7601C">
            <w:pPr>
              <w:pStyle w:val="17"/>
              <w:jc w:val="left"/>
            </w:pPr>
            <w:r>
              <w:t>卫生手消毒，无菌持物钳法、无菌容器法、</w:t>
            </w:r>
            <w:r>
              <w:rPr>
                <w:rFonts w:hint="eastAsia"/>
              </w:rPr>
              <w:t xml:space="preserve"> </w:t>
            </w:r>
            <w:r>
              <w:t>无菌包法</w:t>
            </w:r>
            <w:r>
              <w:rPr>
                <w:rFonts w:hint="eastAsia"/>
              </w:rPr>
              <w:t>使用方法</w:t>
            </w:r>
            <w:r>
              <w:t>、无菌区域准备法（铺无菌盘法）、倒取无菌溶液法、戴、脱无菌手套法</w:t>
            </w:r>
          </w:p>
        </w:tc>
        <w:tc>
          <w:tcPr>
            <w:tcW w:w="1082" w:type="dxa"/>
            <w:vAlign w:val="center"/>
          </w:tcPr>
          <w:p w14:paraId="2BE3F9A8">
            <w:pPr>
              <w:pStyle w:val="17"/>
            </w:pPr>
            <w:r>
              <w:rPr>
                <w:rFonts w:hint="eastAsia" w:ascii="宋体" w:hAnsi="宋体"/>
                <w:bCs/>
                <w:sz w:val="20"/>
              </w:rPr>
              <w:t>12</w:t>
            </w:r>
          </w:p>
        </w:tc>
        <w:tc>
          <w:tcPr>
            <w:tcW w:w="989" w:type="dxa"/>
            <w:vAlign w:val="center"/>
          </w:tcPr>
          <w:p w14:paraId="135280BD">
            <w:pPr>
              <w:pStyle w:val="17"/>
            </w:pPr>
            <w:r>
              <w:rPr>
                <w:rFonts w:hint="eastAsia"/>
              </w:rPr>
              <w:t>④</w:t>
            </w:r>
          </w:p>
        </w:tc>
      </w:tr>
      <w:tr w14:paraId="35F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156D0B31">
            <w:pPr>
              <w:pStyle w:val="17"/>
            </w:pPr>
            <w:r>
              <w:rPr>
                <w:rFonts w:hint="eastAsia"/>
              </w:rPr>
              <w:t>2</w:t>
            </w:r>
          </w:p>
        </w:tc>
        <w:tc>
          <w:tcPr>
            <w:tcW w:w="2362" w:type="dxa"/>
            <w:vAlign w:val="center"/>
          </w:tcPr>
          <w:p w14:paraId="7C9BFB97">
            <w:pPr>
              <w:pStyle w:val="17"/>
            </w:pPr>
            <w:r>
              <w:t>隔离技术基本操作</w:t>
            </w:r>
            <w:r>
              <w:rPr>
                <w:rFonts w:hint="eastAsia" w:ascii="宋体"/>
                <w:bCs/>
                <w:sz w:val="20"/>
              </w:rPr>
              <w:t xml:space="preserve"> </w:t>
            </w:r>
          </w:p>
        </w:tc>
        <w:tc>
          <w:tcPr>
            <w:tcW w:w="5096" w:type="dxa"/>
            <w:vAlign w:val="center"/>
          </w:tcPr>
          <w:p w14:paraId="1003D2A1">
            <w:pPr>
              <w:pStyle w:val="4"/>
              <w:spacing w:line="288" w:lineRule="auto"/>
              <w:ind w:firstLine="0"/>
              <w:rPr>
                <w:rFonts w:ascii="宋体"/>
                <w:bCs/>
                <w:sz w:val="20"/>
              </w:rPr>
            </w:pPr>
            <w:r>
              <w:t>穿、脱隔离衣</w:t>
            </w:r>
          </w:p>
        </w:tc>
        <w:tc>
          <w:tcPr>
            <w:tcW w:w="1082" w:type="dxa"/>
            <w:vAlign w:val="center"/>
          </w:tcPr>
          <w:p w14:paraId="2044BB02">
            <w:pPr>
              <w:pStyle w:val="17"/>
            </w:pPr>
            <w:r>
              <w:rPr>
                <w:rFonts w:hint="eastAsia" w:ascii="宋体" w:hAnsi="宋体"/>
                <w:bCs/>
                <w:sz w:val="20"/>
              </w:rPr>
              <w:t>2</w:t>
            </w:r>
          </w:p>
        </w:tc>
        <w:tc>
          <w:tcPr>
            <w:tcW w:w="989" w:type="dxa"/>
            <w:vAlign w:val="center"/>
          </w:tcPr>
          <w:p w14:paraId="24F0BABF">
            <w:pPr>
              <w:pStyle w:val="17"/>
            </w:pPr>
            <w:r>
              <w:rPr>
                <w:rFonts w:hint="eastAsia"/>
              </w:rPr>
              <w:t>④</w:t>
            </w:r>
          </w:p>
        </w:tc>
      </w:tr>
      <w:tr w14:paraId="3A66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58F06B62">
            <w:pPr>
              <w:pStyle w:val="17"/>
            </w:pPr>
            <w:r>
              <w:rPr>
                <w:rFonts w:hint="eastAsia"/>
              </w:rPr>
              <w:t>3</w:t>
            </w:r>
          </w:p>
        </w:tc>
        <w:tc>
          <w:tcPr>
            <w:tcW w:w="2362" w:type="dxa"/>
            <w:vAlign w:val="center"/>
          </w:tcPr>
          <w:p w14:paraId="627E5229">
            <w:pPr>
              <w:pStyle w:val="17"/>
            </w:pPr>
            <w:r>
              <w:rPr>
                <w:rFonts w:hint="eastAsia"/>
              </w:rPr>
              <w:t>患者床单位的准备</w:t>
            </w:r>
          </w:p>
        </w:tc>
        <w:tc>
          <w:tcPr>
            <w:tcW w:w="5096" w:type="dxa"/>
            <w:vAlign w:val="center"/>
          </w:tcPr>
          <w:p w14:paraId="1B202A20">
            <w:pPr>
              <w:pStyle w:val="17"/>
              <w:jc w:val="left"/>
              <w:rPr>
                <w:rFonts w:hint="eastAsia"/>
              </w:rPr>
            </w:pPr>
            <w:r>
              <w:t>铺备用床、铺暂空床、铺麻醉床</w:t>
            </w:r>
          </w:p>
          <w:p w14:paraId="08987B13">
            <w:pPr>
              <w:pStyle w:val="17"/>
              <w:jc w:val="left"/>
            </w:pPr>
            <w:r>
              <w:t>卧床病人更换床单法</w:t>
            </w:r>
          </w:p>
        </w:tc>
        <w:tc>
          <w:tcPr>
            <w:tcW w:w="1082" w:type="dxa"/>
            <w:vAlign w:val="center"/>
          </w:tcPr>
          <w:p w14:paraId="06B368EA">
            <w:pPr>
              <w:pStyle w:val="17"/>
              <w:rPr>
                <w:rFonts w:hint="eastAsia" w:ascii="宋体" w:hAnsi="宋体"/>
                <w:bCs/>
                <w:sz w:val="20"/>
              </w:rPr>
            </w:pPr>
            <w:r>
              <w:rPr>
                <w:rFonts w:ascii="宋体" w:hAnsi="宋体"/>
                <w:bCs/>
                <w:sz w:val="20"/>
              </w:rPr>
              <w:t>4</w:t>
            </w:r>
          </w:p>
          <w:p w14:paraId="41AF98B6">
            <w:pPr>
              <w:pStyle w:val="17"/>
            </w:pPr>
            <w:r>
              <w:rPr>
                <w:rFonts w:hint="eastAsia" w:ascii="宋体" w:hAnsi="宋体"/>
                <w:bCs/>
                <w:sz w:val="20"/>
              </w:rPr>
              <w:t>2</w:t>
            </w:r>
          </w:p>
        </w:tc>
        <w:tc>
          <w:tcPr>
            <w:tcW w:w="989" w:type="dxa"/>
            <w:vAlign w:val="center"/>
          </w:tcPr>
          <w:p w14:paraId="45387EB5">
            <w:pPr>
              <w:pStyle w:val="17"/>
            </w:pPr>
            <w:r>
              <w:rPr>
                <w:rFonts w:hint="eastAsia"/>
              </w:rPr>
              <w:t>④</w:t>
            </w:r>
          </w:p>
        </w:tc>
      </w:tr>
      <w:tr w14:paraId="291E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4E6922E8">
            <w:pPr>
              <w:pStyle w:val="17"/>
            </w:pPr>
            <w:r>
              <w:rPr>
                <w:rFonts w:hint="eastAsia"/>
              </w:rPr>
              <w:t>4</w:t>
            </w:r>
          </w:p>
        </w:tc>
        <w:tc>
          <w:tcPr>
            <w:tcW w:w="2362" w:type="dxa"/>
            <w:vAlign w:val="center"/>
          </w:tcPr>
          <w:p w14:paraId="547CB731">
            <w:pPr>
              <w:pStyle w:val="17"/>
            </w:pPr>
            <w:r>
              <w:t>运送</w:t>
            </w:r>
            <w:r>
              <w:rPr>
                <w:rFonts w:hint="eastAsia"/>
              </w:rPr>
              <w:t>患者</w:t>
            </w:r>
            <w:r>
              <w:t>法</w:t>
            </w:r>
          </w:p>
        </w:tc>
        <w:tc>
          <w:tcPr>
            <w:tcW w:w="5096" w:type="dxa"/>
            <w:vAlign w:val="center"/>
          </w:tcPr>
          <w:p w14:paraId="5CA39B30">
            <w:pPr>
              <w:pStyle w:val="4"/>
              <w:spacing w:line="288" w:lineRule="auto"/>
              <w:ind w:firstLine="0"/>
              <w:rPr>
                <w:rFonts w:ascii="宋体"/>
                <w:bCs/>
                <w:sz w:val="20"/>
              </w:rPr>
            </w:pPr>
            <w:r>
              <w:t>轮椅运送法、平车运送法</w:t>
            </w:r>
          </w:p>
        </w:tc>
        <w:tc>
          <w:tcPr>
            <w:tcW w:w="1082" w:type="dxa"/>
            <w:vAlign w:val="center"/>
          </w:tcPr>
          <w:p w14:paraId="7ABC2EFB">
            <w:pPr>
              <w:pStyle w:val="17"/>
            </w:pPr>
            <w:r>
              <w:rPr>
                <w:rFonts w:hint="eastAsia" w:ascii="宋体" w:hAnsi="宋体"/>
                <w:bCs/>
                <w:sz w:val="20"/>
              </w:rPr>
              <w:t>2</w:t>
            </w:r>
          </w:p>
        </w:tc>
        <w:tc>
          <w:tcPr>
            <w:tcW w:w="989" w:type="dxa"/>
            <w:vAlign w:val="center"/>
          </w:tcPr>
          <w:p w14:paraId="527EC9D8">
            <w:pPr>
              <w:pStyle w:val="17"/>
            </w:pPr>
            <w:r>
              <w:rPr>
                <w:rFonts w:hint="eastAsia"/>
              </w:rPr>
              <w:t>④</w:t>
            </w:r>
          </w:p>
        </w:tc>
      </w:tr>
      <w:tr w14:paraId="143C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42738B4C">
            <w:pPr>
              <w:pStyle w:val="17"/>
            </w:pPr>
            <w:r>
              <w:rPr>
                <w:rFonts w:hint="eastAsia"/>
              </w:rPr>
              <w:t>5</w:t>
            </w:r>
          </w:p>
        </w:tc>
        <w:tc>
          <w:tcPr>
            <w:tcW w:w="2362" w:type="dxa"/>
            <w:vAlign w:val="center"/>
          </w:tcPr>
          <w:p w14:paraId="1894BC43">
            <w:pPr>
              <w:pStyle w:val="17"/>
            </w:pPr>
            <w:r>
              <w:t>口腔</w:t>
            </w:r>
            <w:r>
              <w:rPr>
                <w:rFonts w:hint="eastAsia"/>
              </w:rPr>
              <w:t>的清洁</w:t>
            </w:r>
            <w:r>
              <w:t>护理</w:t>
            </w:r>
          </w:p>
        </w:tc>
        <w:tc>
          <w:tcPr>
            <w:tcW w:w="5096" w:type="dxa"/>
            <w:vAlign w:val="center"/>
          </w:tcPr>
          <w:p w14:paraId="14B6E6AB">
            <w:pPr>
              <w:pStyle w:val="17"/>
              <w:jc w:val="left"/>
            </w:pPr>
            <w:r>
              <w:t>特殊口腔护理</w:t>
            </w:r>
          </w:p>
        </w:tc>
        <w:tc>
          <w:tcPr>
            <w:tcW w:w="1082" w:type="dxa"/>
            <w:vAlign w:val="center"/>
          </w:tcPr>
          <w:p w14:paraId="6BB0D697">
            <w:pPr>
              <w:pStyle w:val="17"/>
            </w:pPr>
            <w:r>
              <w:rPr>
                <w:rFonts w:hint="eastAsia" w:ascii="宋体" w:hAnsi="宋体"/>
                <w:bCs/>
                <w:sz w:val="20"/>
              </w:rPr>
              <w:t>6</w:t>
            </w:r>
          </w:p>
        </w:tc>
        <w:tc>
          <w:tcPr>
            <w:tcW w:w="989" w:type="dxa"/>
            <w:vAlign w:val="center"/>
          </w:tcPr>
          <w:p w14:paraId="5DB9B9B6">
            <w:pPr>
              <w:pStyle w:val="17"/>
            </w:pPr>
            <w:r>
              <w:rPr>
                <w:rFonts w:hint="eastAsia"/>
              </w:rPr>
              <w:t>④</w:t>
            </w:r>
          </w:p>
        </w:tc>
      </w:tr>
      <w:tr w14:paraId="1444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5888FFBF">
            <w:pPr>
              <w:pStyle w:val="17"/>
            </w:pPr>
            <w:r>
              <w:rPr>
                <w:rFonts w:hint="eastAsia"/>
              </w:rPr>
              <w:t>6</w:t>
            </w:r>
          </w:p>
        </w:tc>
        <w:tc>
          <w:tcPr>
            <w:tcW w:w="2362" w:type="dxa"/>
            <w:vAlign w:val="center"/>
          </w:tcPr>
          <w:p w14:paraId="6DB517D1">
            <w:pPr>
              <w:pStyle w:val="17"/>
            </w:pPr>
            <w:r>
              <w:t>皮肤</w:t>
            </w:r>
            <w:r>
              <w:rPr>
                <w:rFonts w:hint="eastAsia"/>
              </w:rPr>
              <w:t>的清洁</w:t>
            </w:r>
            <w:r>
              <w:t>护理</w:t>
            </w:r>
          </w:p>
        </w:tc>
        <w:tc>
          <w:tcPr>
            <w:tcW w:w="5096" w:type="dxa"/>
            <w:vAlign w:val="center"/>
          </w:tcPr>
          <w:p w14:paraId="3B69ED8D">
            <w:pPr>
              <w:pStyle w:val="17"/>
              <w:jc w:val="left"/>
            </w:pPr>
            <w:r>
              <w:t>床上擦浴</w:t>
            </w:r>
          </w:p>
        </w:tc>
        <w:tc>
          <w:tcPr>
            <w:tcW w:w="1082" w:type="dxa"/>
            <w:vAlign w:val="center"/>
          </w:tcPr>
          <w:p w14:paraId="4FACA00F">
            <w:pPr>
              <w:pStyle w:val="17"/>
            </w:pPr>
            <w:r>
              <w:rPr>
                <w:rFonts w:hint="eastAsia" w:ascii="宋体" w:hAnsi="宋体"/>
                <w:bCs/>
                <w:sz w:val="20"/>
              </w:rPr>
              <w:t>2</w:t>
            </w:r>
          </w:p>
        </w:tc>
        <w:tc>
          <w:tcPr>
            <w:tcW w:w="989" w:type="dxa"/>
            <w:vAlign w:val="center"/>
          </w:tcPr>
          <w:p w14:paraId="06B1F26D">
            <w:pPr>
              <w:pStyle w:val="17"/>
              <w:ind w:firstLine="210" w:firstLineChars="100"/>
              <w:jc w:val="left"/>
            </w:pPr>
            <w:r>
              <w:rPr>
                <w:rFonts w:hint="eastAsia"/>
              </w:rPr>
              <w:t xml:space="preserve"> </w:t>
            </w:r>
            <w:r>
              <w:rPr>
                <w:rFonts w:hint="eastAsia" w:ascii="宋体" w:hAnsi="宋体"/>
              </w:rPr>
              <w:sym w:font="Wingdings" w:char="F081"/>
            </w:r>
            <w:bookmarkStart w:id="2" w:name="OLE_LINK7"/>
            <w:bookmarkStart w:id="3" w:name="OLE_LINK8"/>
          </w:p>
        </w:tc>
      </w:tr>
      <w:tr w14:paraId="5583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7DCF5868">
            <w:pPr>
              <w:pStyle w:val="17"/>
            </w:pPr>
            <w:r>
              <w:t>7</w:t>
            </w:r>
          </w:p>
        </w:tc>
        <w:tc>
          <w:tcPr>
            <w:tcW w:w="2362" w:type="dxa"/>
            <w:vAlign w:val="center"/>
          </w:tcPr>
          <w:p w14:paraId="42F30314">
            <w:pPr>
              <w:pStyle w:val="17"/>
            </w:pPr>
            <w:r>
              <w:rPr>
                <w:rFonts w:hint="eastAsia"/>
              </w:rPr>
              <w:t>体温单绘制，生命体征测量</w:t>
            </w:r>
          </w:p>
        </w:tc>
        <w:tc>
          <w:tcPr>
            <w:tcW w:w="5096" w:type="dxa"/>
            <w:vAlign w:val="center"/>
          </w:tcPr>
          <w:p w14:paraId="159A1E57">
            <w:pPr>
              <w:pStyle w:val="17"/>
              <w:jc w:val="left"/>
            </w:pPr>
            <w:bookmarkStart w:id="4" w:name="OLE_LINK10"/>
            <w:bookmarkStart w:id="5" w:name="OLE_LINK9"/>
            <w:r>
              <w:t>测量体温、脉搏、呼吸、血压</w:t>
            </w:r>
          </w:p>
          <w:bookmarkEnd w:id="2"/>
          <w:bookmarkEnd w:id="3"/>
        </w:tc>
        <w:tc>
          <w:tcPr>
            <w:tcW w:w="1082" w:type="dxa"/>
            <w:vAlign w:val="center"/>
          </w:tcPr>
          <w:p w14:paraId="7B2BBEAB">
            <w:pPr>
              <w:pStyle w:val="17"/>
            </w:pPr>
            <w:r>
              <w:rPr>
                <w:rFonts w:hint="eastAsia" w:ascii="宋体" w:hAnsi="宋体"/>
                <w:bCs/>
                <w:sz w:val="20"/>
              </w:rPr>
              <w:t>4</w:t>
            </w:r>
          </w:p>
        </w:tc>
        <w:tc>
          <w:tcPr>
            <w:tcW w:w="989" w:type="dxa"/>
            <w:vAlign w:val="center"/>
          </w:tcPr>
          <w:p w14:paraId="0A3B869A">
            <w:pPr>
              <w:pStyle w:val="17"/>
            </w:pPr>
            <w:r>
              <w:rPr>
                <w:rFonts w:hint="eastAsia"/>
              </w:rPr>
              <w:t>④</w:t>
            </w:r>
          </w:p>
        </w:tc>
      </w:tr>
      <w:tr w14:paraId="54D0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741F2E30">
            <w:pPr>
              <w:pStyle w:val="17"/>
            </w:pPr>
            <w:r>
              <w:rPr>
                <w:rFonts w:hint="eastAsia"/>
              </w:rPr>
              <w:t>8</w:t>
            </w:r>
          </w:p>
        </w:tc>
        <w:tc>
          <w:tcPr>
            <w:tcW w:w="2362" w:type="dxa"/>
            <w:vAlign w:val="center"/>
          </w:tcPr>
          <w:p w14:paraId="732F5A0F">
            <w:pPr>
              <w:pStyle w:val="17"/>
            </w:pPr>
            <w:bookmarkStart w:id="6" w:name="OLE_LINK13"/>
            <w:bookmarkStart w:id="7" w:name="OLE_LINK14"/>
            <w:r>
              <w:t>促进呼吸功能的</w:t>
            </w:r>
            <w:r>
              <w:rPr>
                <w:rFonts w:hint="eastAsia"/>
              </w:rPr>
              <w:t>技术</w:t>
            </w:r>
            <w:bookmarkEnd w:id="6"/>
            <w:bookmarkEnd w:id="7"/>
          </w:p>
          <w:bookmarkEnd w:id="4"/>
          <w:bookmarkEnd w:id="5"/>
        </w:tc>
        <w:tc>
          <w:tcPr>
            <w:tcW w:w="5096" w:type="dxa"/>
            <w:vAlign w:val="center"/>
          </w:tcPr>
          <w:p w14:paraId="25264EE6">
            <w:pPr>
              <w:pStyle w:val="17"/>
              <w:jc w:val="left"/>
            </w:pPr>
            <w:r>
              <w:t>吸痰法、</w:t>
            </w:r>
          </w:p>
        </w:tc>
        <w:tc>
          <w:tcPr>
            <w:tcW w:w="1082" w:type="dxa"/>
            <w:vAlign w:val="center"/>
          </w:tcPr>
          <w:p w14:paraId="61C1FDF0">
            <w:pPr>
              <w:pStyle w:val="17"/>
              <w:rPr>
                <w:rFonts w:ascii="宋体" w:hAnsi="宋体"/>
                <w:bCs/>
                <w:sz w:val="20"/>
              </w:rPr>
            </w:pPr>
            <w:r>
              <w:rPr>
                <w:rFonts w:hint="eastAsia" w:ascii="宋体" w:hAnsi="宋体"/>
                <w:bCs/>
                <w:sz w:val="20"/>
              </w:rPr>
              <w:t>2</w:t>
            </w:r>
          </w:p>
        </w:tc>
        <w:tc>
          <w:tcPr>
            <w:tcW w:w="989" w:type="dxa"/>
            <w:vAlign w:val="center"/>
          </w:tcPr>
          <w:p w14:paraId="16E1DE46">
            <w:pPr>
              <w:pStyle w:val="17"/>
            </w:pPr>
            <w:r>
              <w:rPr>
                <w:rFonts w:hint="eastAsia"/>
              </w:rPr>
              <w:t>④</w:t>
            </w:r>
          </w:p>
        </w:tc>
      </w:tr>
      <w:tr w14:paraId="3B60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79" w:type="dxa"/>
            <w:tcBorders>
              <w:top w:val="single" w:color="auto" w:sz="4" w:space="0"/>
              <w:left w:val="single" w:color="auto" w:sz="12" w:space="0"/>
              <w:bottom w:val="single" w:color="auto" w:sz="4" w:space="0"/>
              <w:right w:val="single" w:color="auto" w:sz="4" w:space="0"/>
            </w:tcBorders>
            <w:shd w:val="clear" w:color="auto" w:fill="auto"/>
            <w:vAlign w:val="center"/>
          </w:tcPr>
          <w:p w14:paraId="3455FFC2">
            <w:pPr>
              <w:pStyle w:val="17"/>
            </w:pPr>
            <w:r>
              <w:rPr>
                <w:rFonts w:hint="eastAsia"/>
              </w:rPr>
              <w:t>9</w:t>
            </w:r>
          </w:p>
        </w:tc>
        <w:tc>
          <w:tcPr>
            <w:tcW w:w="2362" w:type="dxa"/>
            <w:vAlign w:val="center"/>
          </w:tcPr>
          <w:p w14:paraId="50224E8C">
            <w:pPr>
              <w:pStyle w:val="17"/>
            </w:pPr>
            <w:r>
              <w:t>促进呼吸功能的</w:t>
            </w:r>
            <w:r>
              <w:rPr>
                <w:rFonts w:hint="eastAsia"/>
              </w:rPr>
              <w:t>技术</w:t>
            </w:r>
          </w:p>
        </w:tc>
        <w:tc>
          <w:tcPr>
            <w:tcW w:w="5096" w:type="dxa"/>
            <w:vAlign w:val="center"/>
          </w:tcPr>
          <w:p w14:paraId="47578D17">
            <w:pPr>
              <w:pStyle w:val="17"/>
              <w:jc w:val="left"/>
            </w:pPr>
            <w:bookmarkStart w:id="8" w:name="OLE_LINK12"/>
            <w:bookmarkStart w:id="9" w:name="OLE_LINK11"/>
            <w:r>
              <w:t>氧气</w:t>
            </w:r>
            <w:r>
              <w:rPr>
                <w:rFonts w:hint="eastAsia"/>
              </w:rPr>
              <w:t>吸入</w:t>
            </w:r>
            <w:r>
              <w:t>法</w:t>
            </w:r>
          </w:p>
        </w:tc>
        <w:tc>
          <w:tcPr>
            <w:tcW w:w="1082" w:type="dxa"/>
            <w:vAlign w:val="center"/>
          </w:tcPr>
          <w:p w14:paraId="34D4681B">
            <w:pPr>
              <w:pStyle w:val="17"/>
              <w:rPr>
                <w:rFonts w:ascii="宋体" w:hAnsi="宋体"/>
                <w:bCs/>
                <w:sz w:val="20"/>
              </w:rPr>
            </w:pPr>
            <w:r>
              <w:rPr>
                <w:rFonts w:hint="eastAsia" w:ascii="宋体" w:hAnsi="宋体"/>
                <w:bCs/>
                <w:sz w:val="20"/>
              </w:rPr>
              <w:t>4</w:t>
            </w:r>
          </w:p>
        </w:tc>
        <w:tc>
          <w:tcPr>
            <w:tcW w:w="989" w:type="dxa"/>
            <w:vAlign w:val="center"/>
          </w:tcPr>
          <w:p w14:paraId="3B112226">
            <w:pPr>
              <w:pStyle w:val="17"/>
            </w:pPr>
            <w:r>
              <w:rPr>
                <w:rFonts w:hint="eastAsia"/>
              </w:rPr>
              <w:t>④</w:t>
            </w:r>
          </w:p>
        </w:tc>
      </w:tr>
      <w:bookmarkEnd w:id="8"/>
      <w:bookmarkEnd w:id="9"/>
      <w:tr w14:paraId="0D7D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08" w:type="dxa"/>
            <w:gridSpan w:val="5"/>
            <w:tcBorders>
              <w:top w:val="single" w:color="auto" w:sz="12" w:space="0"/>
              <w:left w:val="nil"/>
              <w:bottom w:val="nil"/>
              <w:right w:val="nil"/>
            </w:tcBorders>
            <w:shd w:val="clear" w:color="auto" w:fill="auto"/>
            <w:vAlign w:val="center"/>
          </w:tcPr>
          <w:p w14:paraId="1F6B2985">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8C3DBD6">
      <w:pPr>
        <w:pStyle w:val="19"/>
        <w:spacing w:before="326" w:beforeLines="100" w:line="360" w:lineRule="auto"/>
        <w:ind w:firstLine="140" w:firstLineChars="50"/>
        <w:rPr>
          <w:rFonts w:hint="eastAsia" w:ascii="黑体" w:hAnsi="宋体"/>
        </w:rPr>
      </w:pPr>
      <w:bookmarkStart w:id="10" w:name="OLE_LINK2"/>
      <w:bookmarkStart w:id="11" w:name="OLE_LINK1"/>
    </w:p>
    <w:p w14:paraId="5CA16256">
      <w:pPr>
        <w:pStyle w:val="19"/>
        <w:spacing w:before="326" w:beforeLines="100" w:line="360" w:lineRule="auto"/>
        <w:ind w:firstLine="140" w:firstLineChars="50"/>
        <w:rPr>
          <w:rFonts w:ascii="黑体" w:hAnsi="宋体"/>
        </w:rPr>
      </w:pPr>
      <w:r>
        <w:rPr>
          <w:rFonts w:hint="eastAsia" w:ascii="黑体" w:hAnsi="宋体"/>
        </w:rPr>
        <w:t>四、课程思政教学设计</w:t>
      </w:r>
    </w:p>
    <w:bookmarkEnd w:id="10"/>
    <w:bookmarkEnd w:id="11"/>
    <w:tbl>
      <w:tblPr>
        <w:tblStyle w:val="10"/>
        <w:tblW w:w="490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0434"/>
      </w:tblGrid>
      <w:tr w14:paraId="05398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0433" w:type="dxa"/>
            <w:vAlign w:val="center"/>
          </w:tcPr>
          <w:p w14:paraId="2FD567DD">
            <w:pPr>
              <w:pStyle w:val="17"/>
              <w:widowControl w:val="0"/>
              <w:jc w:val="left"/>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6A71207">
            <w:pPr>
              <w:pStyle w:val="17"/>
              <w:widowControl w:val="0"/>
              <w:jc w:val="left"/>
            </w:pPr>
            <w:r>
              <w:rPr>
                <w:rFonts w:hint="eastAsia"/>
              </w:rPr>
              <w:t>⑤</w:t>
            </w:r>
            <w:r>
              <w:rPr>
                <w:rFonts w:hint="eastAsia"/>
                <w:color w:val="auto"/>
              </w:rPr>
              <w:t>爱岗敬业，</w:t>
            </w:r>
            <w:r>
              <w:rPr>
                <w:rFonts w:hint="eastAsia"/>
              </w:rPr>
              <w:t>热爱所学专业，勤学多练，锤炼技能。熟悉本专业相关的法律法规，在实习实践中自觉遵守职业规范，具备职业道德操守。</w:t>
            </w:r>
          </w:p>
          <w:p w14:paraId="29C24B8C">
            <w:pPr>
              <w:pStyle w:val="17"/>
              <w:widowControl w:val="0"/>
              <w:jc w:val="left"/>
            </w:pPr>
            <w:r>
              <w:rPr>
                <w:rFonts w:hint="eastAsia"/>
              </w:rPr>
              <w:t>教学设计：“课程思政”引导方式要坚持灌输与渗透相结合、显性教育与隐性教育相结合的原则。灌输与渗透相结合就是坚持春风化雨的方式，通过不同的选择，从被动、自发地学习转向主动、自觉地学习，主动将之付诸实践。通过隐性渗透、寓道德教育于课程之中，通过润物细无声、滴水穿石的方式，实现显性教育与隐性教育的有机结合。</w:t>
            </w:r>
          </w:p>
          <w:p w14:paraId="33FCF5F3">
            <w:pPr>
              <w:pStyle w:val="17"/>
              <w:widowControl w:val="0"/>
              <w:jc w:val="left"/>
            </w:pPr>
            <w:r>
              <w:rPr>
                <w:rFonts w:hint="eastAsia"/>
              </w:rPr>
              <w:t>考核方式：</w:t>
            </w:r>
            <w:r>
              <w:t>1. 考勤、学习态度</w:t>
            </w:r>
            <w:r>
              <w:rPr>
                <w:rFonts w:hint="eastAsia"/>
              </w:rPr>
              <w:t>；</w:t>
            </w:r>
            <w:r>
              <w:t>2. 课堂表现</w:t>
            </w:r>
            <w:r>
              <w:rPr>
                <w:rFonts w:hint="eastAsia"/>
              </w:rPr>
              <w:t>；3作业完成情况</w:t>
            </w:r>
          </w:p>
        </w:tc>
      </w:tr>
    </w:tbl>
    <w:p w14:paraId="18FA77FC">
      <w:pPr>
        <w:pStyle w:val="19"/>
        <w:spacing w:before="326" w:beforeLines="100" w:line="360" w:lineRule="auto"/>
        <w:rPr>
          <w:rFonts w:ascii="黑体" w:hAnsi="宋体"/>
        </w:rPr>
      </w:pPr>
      <w:r>
        <w:rPr>
          <w:rFonts w:hint="eastAsia" w:ascii="黑体" w:hAnsi="宋体"/>
        </w:rPr>
        <w:t>五、课程考核</w:t>
      </w:r>
      <w:bookmarkStart w:id="12" w:name="OLE_LINK3"/>
      <w:bookmarkStart w:id="13" w:name="OLE_LINK4"/>
    </w:p>
    <w:bookmarkEnd w:id="12"/>
    <w:bookmarkEnd w:id="13"/>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1452"/>
      </w:tblGrid>
      <w:tr w14:paraId="31DD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71D8015F">
            <w:pPr>
              <w:widowControl w:val="0"/>
              <w:snapToGrid w:val="0"/>
              <w:jc w:val="center"/>
              <w:rPr>
                <w:rFonts w:ascii="黑体" w:hAnsi="黑体" w:eastAsia="黑体"/>
                <w:bCs/>
                <w:sz w:val="21"/>
                <w:szCs w:val="21"/>
              </w:rPr>
            </w:pPr>
            <w:bookmarkStart w:id="14" w:name="_Hlk156661041"/>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56B7AB7C">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74D77064">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3B5EBC6D">
            <w:pPr>
              <w:pStyle w:val="19"/>
              <w:widowControl w:val="0"/>
              <w:spacing w:line="240" w:lineRule="auto"/>
              <w:jc w:val="center"/>
              <w:rPr>
                <w:rFonts w:ascii="黑体" w:hAnsi="宋体"/>
              </w:rPr>
            </w:pPr>
            <w:r>
              <w:rPr>
                <w:rFonts w:hint="eastAsia" w:ascii="黑体" w:hAnsi="黑体"/>
                <w:bCs/>
                <w:sz w:val="21"/>
                <w:szCs w:val="21"/>
              </w:rPr>
              <w:t>课程目标</w:t>
            </w:r>
          </w:p>
        </w:tc>
        <w:tc>
          <w:tcPr>
            <w:tcW w:w="1452" w:type="dxa"/>
            <w:vMerge w:val="restart"/>
            <w:tcBorders>
              <w:top w:val="single" w:color="auto" w:sz="12" w:space="0"/>
              <w:right w:val="single" w:color="auto" w:sz="12" w:space="0"/>
            </w:tcBorders>
            <w:vAlign w:val="center"/>
          </w:tcPr>
          <w:p w14:paraId="2515CBC8">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2D66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41420866">
            <w:pPr>
              <w:widowControl w:val="0"/>
              <w:snapToGrid w:val="0"/>
              <w:jc w:val="center"/>
              <w:rPr>
                <w:rFonts w:ascii="黑体" w:hAnsi="黑体" w:eastAsia="黑体"/>
                <w:bCs/>
                <w:sz w:val="21"/>
                <w:szCs w:val="21"/>
              </w:rPr>
            </w:pPr>
          </w:p>
        </w:tc>
        <w:tc>
          <w:tcPr>
            <w:tcW w:w="758" w:type="dxa"/>
            <w:vMerge w:val="continue"/>
          </w:tcPr>
          <w:p w14:paraId="31F5E0C5">
            <w:pPr>
              <w:pStyle w:val="19"/>
              <w:widowControl w:val="0"/>
              <w:jc w:val="both"/>
              <w:rPr>
                <w:rFonts w:ascii="黑体" w:hAnsi="黑体"/>
                <w:bCs/>
                <w:sz w:val="21"/>
                <w:szCs w:val="21"/>
              </w:rPr>
            </w:pPr>
          </w:p>
        </w:tc>
        <w:tc>
          <w:tcPr>
            <w:tcW w:w="2518" w:type="dxa"/>
            <w:vMerge w:val="continue"/>
            <w:tcBorders>
              <w:right w:val="double" w:color="auto" w:sz="4" w:space="0"/>
            </w:tcBorders>
          </w:tcPr>
          <w:p w14:paraId="7B4DC87E">
            <w:pPr>
              <w:pStyle w:val="19"/>
              <w:widowControl w:val="0"/>
              <w:jc w:val="both"/>
              <w:rPr>
                <w:rFonts w:ascii="黑体" w:hAnsi="黑体"/>
                <w:bCs/>
                <w:sz w:val="21"/>
                <w:szCs w:val="21"/>
              </w:rPr>
            </w:pPr>
          </w:p>
        </w:tc>
        <w:tc>
          <w:tcPr>
            <w:tcW w:w="655" w:type="dxa"/>
            <w:tcBorders>
              <w:left w:val="double" w:color="auto" w:sz="4" w:space="0"/>
            </w:tcBorders>
            <w:vAlign w:val="center"/>
          </w:tcPr>
          <w:p w14:paraId="384A951B">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14:paraId="4597BE68">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14:paraId="3A330688">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14:paraId="2C1CC4D7">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14:paraId="5FBA8548">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1452" w:type="dxa"/>
            <w:vMerge w:val="continue"/>
            <w:tcBorders>
              <w:right w:val="single" w:color="auto" w:sz="12" w:space="0"/>
            </w:tcBorders>
          </w:tcPr>
          <w:p w14:paraId="19B08208">
            <w:pPr>
              <w:pStyle w:val="19"/>
              <w:widowControl w:val="0"/>
              <w:spacing w:line="240" w:lineRule="auto"/>
              <w:jc w:val="center"/>
              <w:rPr>
                <w:rFonts w:ascii="黑体" w:hAnsi="黑体"/>
                <w:bCs/>
                <w:sz w:val="21"/>
                <w:szCs w:val="21"/>
              </w:rPr>
            </w:pPr>
          </w:p>
        </w:tc>
      </w:tr>
      <w:tr w14:paraId="0E99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628C9129">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58" w:type="dxa"/>
            <w:vAlign w:val="center"/>
          </w:tcPr>
          <w:p w14:paraId="024E1D7F">
            <w:pPr>
              <w:pStyle w:val="17"/>
              <w:widowControl w:val="0"/>
            </w:pPr>
            <w:r>
              <w:rPr>
                <w:rFonts w:hint="eastAsia"/>
              </w:rPr>
              <w:t>6</w:t>
            </w:r>
            <w:r>
              <w:t>0</w:t>
            </w:r>
            <w:r>
              <w:rPr>
                <w:rFonts w:hint="eastAsia"/>
              </w:rPr>
              <w:t>%</w:t>
            </w:r>
          </w:p>
        </w:tc>
        <w:tc>
          <w:tcPr>
            <w:tcW w:w="2518" w:type="dxa"/>
            <w:tcBorders>
              <w:right w:val="double" w:color="auto" w:sz="4" w:space="0"/>
            </w:tcBorders>
            <w:vAlign w:val="center"/>
          </w:tcPr>
          <w:p w14:paraId="65476BCA">
            <w:pPr>
              <w:pStyle w:val="17"/>
              <w:widowControl w:val="0"/>
            </w:pPr>
            <w:r>
              <w:rPr>
                <w:rFonts w:hint="eastAsia"/>
              </w:rPr>
              <w:t>期末闭卷考试</w:t>
            </w:r>
          </w:p>
        </w:tc>
        <w:tc>
          <w:tcPr>
            <w:tcW w:w="655" w:type="dxa"/>
            <w:tcBorders>
              <w:left w:val="double" w:color="auto" w:sz="4" w:space="0"/>
            </w:tcBorders>
            <w:vAlign w:val="center"/>
          </w:tcPr>
          <w:p w14:paraId="7783F5D2">
            <w:pPr>
              <w:pStyle w:val="17"/>
              <w:widowControl w:val="0"/>
            </w:pPr>
            <w:r>
              <w:t>10</w:t>
            </w:r>
          </w:p>
        </w:tc>
        <w:tc>
          <w:tcPr>
            <w:tcW w:w="655" w:type="dxa"/>
            <w:vAlign w:val="center"/>
          </w:tcPr>
          <w:p w14:paraId="16491ECE">
            <w:pPr>
              <w:pStyle w:val="17"/>
              <w:widowControl w:val="0"/>
            </w:pPr>
            <w:r>
              <w:t>50</w:t>
            </w:r>
          </w:p>
        </w:tc>
        <w:tc>
          <w:tcPr>
            <w:tcW w:w="655" w:type="dxa"/>
            <w:vAlign w:val="center"/>
          </w:tcPr>
          <w:p w14:paraId="0B94B820">
            <w:pPr>
              <w:pStyle w:val="17"/>
              <w:widowControl w:val="0"/>
            </w:pPr>
            <w:r>
              <w:rPr>
                <w:rFonts w:hint="eastAsia"/>
              </w:rPr>
              <w:t>2</w:t>
            </w:r>
            <w:r>
              <w:t>0</w:t>
            </w:r>
          </w:p>
        </w:tc>
        <w:tc>
          <w:tcPr>
            <w:tcW w:w="655" w:type="dxa"/>
            <w:vAlign w:val="center"/>
          </w:tcPr>
          <w:p w14:paraId="59360DA6">
            <w:pPr>
              <w:pStyle w:val="17"/>
              <w:widowControl w:val="0"/>
            </w:pPr>
            <w:r>
              <w:t>0</w:t>
            </w:r>
          </w:p>
        </w:tc>
        <w:tc>
          <w:tcPr>
            <w:tcW w:w="655" w:type="dxa"/>
            <w:vAlign w:val="center"/>
          </w:tcPr>
          <w:p w14:paraId="6900E620">
            <w:pPr>
              <w:pStyle w:val="17"/>
              <w:widowControl w:val="0"/>
            </w:pPr>
            <w:r>
              <w:rPr>
                <w:rFonts w:hint="eastAsia"/>
              </w:rPr>
              <w:t>2</w:t>
            </w:r>
            <w:r>
              <w:t>0</w:t>
            </w:r>
          </w:p>
        </w:tc>
        <w:tc>
          <w:tcPr>
            <w:tcW w:w="1452" w:type="dxa"/>
            <w:tcBorders>
              <w:right w:val="single" w:color="auto" w:sz="12" w:space="0"/>
            </w:tcBorders>
            <w:vAlign w:val="center"/>
          </w:tcPr>
          <w:p w14:paraId="6ED9B651">
            <w:pPr>
              <w:pStyle w:val="17"/>
              <w:widowControl w:val="0"/>
            </w:pPr>
            <w:r>
              <w:rPr>
                <w:rFonts w:hint="eastAsia"/>
              </w:rPr>
              <w:t>1</w:t>
            </w:r>
            <w:r>
              <w:t>00</w:t>
            </w:r>
          </w:p>
        </w:tc>
      </w:tr>
      <w:tr w14:paraId="4560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46C1202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14:paraId="349F623E">
            <w:pPr>
              <w:pStyle w:val="17"/>
              <w:widowControl w:val="0"/>
            </w:pPr>
            <w:r>
              <w:rPr>
                <w:rFonts w:hint="eastAsia"/>
              </w:rPr>
              <w:t>1</w:t>
            </w:r>
            <w:r>
              <w:t>0</w:t>
            </w:r>
            <w:r>
              <w:rPr>
                <w:rFonts w:hint="eastAsia"/>
              </w:rPr>
              <w:t>%</w:t>
            </w:r>
          </w:p>
        </w:tc>
        <w:tc>
          <w:tcPr>
            <w:tcW w:w="2518" w:type="dxa"/>
            <w:tcBorders>
              <w:right w:val="double" w:color="auto" w:sz="4" w:space="0"/>
            </w:tcBorders>
            <w:vAlign w:val="center"/>
          </w:tcPr>
          <w:p w14:paraId="4A650651">
            <w:pPr>
              <w:pStyle w:val="17"/>
              <w:widowControl w:val="0"/>
            </w:pPr>
            <w:r>
              <w:rPr>
                <w:rFonts w:hint="eastAsia"/>
              </w:rPr>
              <w:t>课堂测验</w:t>
            </w:r>
          </w:p>
        </w:tc>
        <w:tc>
          <w:tcPr>
            <w:tcW w:w="655" w:type="dxa"/>
            <w:tcBorders>
              <w:left w:val="double" w:color="auto" w:sz="4" w:space="0"/>
            </w:tcBorders>
            <w:vAlign w:val="center"/>
          </w:tcPr>
          <w:p w14:paraId="0F097CEF">
            <w:pPr>
              <w:pStyle w:val="17"/>
              <w:widowControl w:val="0"/>
            </w:pPr>
            <w:r>
              <w:t>10</w:t>
            </w:r>
          </w:p>
        </w:tc>
        <w:tc>
          <w:tcPr>
            <w:tcW w:w="655" w:type="dxa"/>
            <w:vAlign w:val="center"/>
          </w:tcPr>
          <w:p w14:paraId="7D75AFA4">
            <w:pPr>
              <w:pStyle w:val="17"/>
              <w:widowControl w:val="0"/>
            </w:pPr>
            <w:r>
              <w:t>70</w:t>
            </w:r>
          </w:p>
        </w:tc>
        <w:tc>
          <w:tcPr>
            <w:tcW w:w="655" w:type="dxa"/>
            <w:vAlign w:val="center"/>
          </w:tcPr>
          <w:p w14:paraId="6C6DF39D">
            <w:pPr>
              <w:pStyle w:val="17"/>
              <w:widowControl w:val="0"/>
            </w:pPr>
            <w:r>
              <w:rPr>
                <w:rFonts w:hint="eastAsia"/>
              </w:rPr>
              <w:t>2</w:t>
            </w:r>
            <w:r>
              <w:t>0</w:t>
            </w:r>
          </w:p>
        </w:tc>
        <w:tc>
          <w:tcPr>
            <w:tcW w:w="655" w:type="dxa"/>
            <w:vAlign w:val="center"/>
          </w:tcPr>
          <w:p w14:paraId="5B5C3806">
            <w:pPr>
              <w:pStyle w:val="17"/>
              <w:widowControl w:val="0"/>
            </w:pPr>
          </w:p>
        </w:tc>
        <w:tc>
          <w:tcPr>
            <w:tcW w:w="655" w:type="dxa"/>
            <w:vAlign w:val="center"/>
          </w:tcPr>
          <w:p w14:paraId="360A5ABC">
            <w:pPr>
              <w:pStyle w:val="17"/>
              <w:widowControl w:val="0"/>
            </w:pPr>
          </w:p>
        </w:tc>
        <w:tc>
          <w:tcPr>
            <w:tcW w:w="1452" w:type="dxa"/>
            <w:tcBorders>
              <w:right w:val="single" w:color="auto" w:sz="12" w:space="0"/>
            </w:tcBorders>
            <w:vAlign w:val="center"/>
          </w:tcPr>
          <w:p w14:paraId="06366000">
            <w:pPr>
              <w:pStyle w:val="17"/>
              <w:widowControl w:val="0"/>
            </w:pPr>
            <w:r>
              <w:rPr>
                <w:rFonts w:hint="eastAsia"/>
              </w:rPr>
              <w:t>1</w:t>
            </w:r>
            <w:r>
              <w:t>00</w:t>
            </w:r>
          </w:p>
        </w:tc>
      </w:tr>
      <w:tr w14:paraId="3F8C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4A50F09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14:paraId="1E8009E4">
            <w:pPr>
              <w:pStyle w:val="17"/>
              <w:widowControl w:val="0"/>
            </w:pPr>
            <w:r>
              <w:rPr>
                <w:rFonts w:hint="eastAsia"/>
              </w:rPr>
              <w:t>1</w:t>
            </w:r>
            <w:r>
              <w:t>0</w:t>
            </w:r>
            <w:r>
              <w:rPr>
                <w:rFonts w:hint="eastAsia"/>
              </w:rPr>
              <w:t>%</w:t>
            </w:r>
          </w:p>
        </w:tc>
        <w:tc>
          <w:tcPr>
            <w:tcW w:w="2518" w:type="dxa"/>
            <w:tcBorders>
              <w:right w:val="double" w:color="auto" w:sz="4" w:space="0"/>
            </w:tcBorders>
            <w:vAlign w:val="center"/>
          </w:tcPr>
          <w:p w14:paraId="6BCFBCA1">
            <w:pPr>
              <w:pStyle w:val="17"/>
              <w:widowControl w:val="0"/>
            </w:pPr>
            <w:r>
              <w:rPr>
                <w:rFonts w:hint="eastAsia"/>
              </w:rPr>
              <w:t>实训报告</w:t>
            </w:r>
          </w:p>
        </w:tc>
        <w:tc>
          <w:tcPr>
            <w:tcW w:w="655" w:type="dxa"/>
            <w:tcBorders>
              <w:left w:val="double" w:color="auto" w:sz="4" w:space="0"/>
            </w:tcBorders>
            <w:vAlign w:val="center"/>
          </w:tcPr>
          <w:p w14:paraId="0C4E1F71">
            <w:pPr>
              <w:pStyle w:val="17"/>
              <w:widowControl w:val="0"/>
            </w:pPr>
          </w:p>
        </w:tc>
        <w:tc>
          <w:tcPr>
            <w:tcW w:w="655" w:type="dxa"/>
            <w:vAlign w:val="center"/>
          </w:tcPr>
          <w:p w14:paraId="1310790D">
            <w:pPr>
              <w:pStyle w:val="17"/>
              <w:widowControl w:val="0"/>
            </w:pPr>
            <w:r>
              <w:rPr>
                <w:rFonts w:hint="eastAsia"/>
              </w:rPr>
              <w:t>20</w:t>
            </w:r>
          </w:p>
        </w:tc>
        <w:tc>
          <w:tcPr>
            <w:tcW w:w="655" w:type="dxa"/>
            <w:vAlign w:val="center"/>
          </w:tcPr>
          <w:p w14:paraId="5909BD9F">
            <w:pPr>
              <w:pStyle w:val="17"/>
              <w:widowControl w:val="0"/>
            </w:pPr>
            <w:r>
              <w:rPr>
                <w:rFonts w:hint="eastAsia"/>
              </w:rPr>
              <w:t>80</w:t>
            </w:r>
          </w:p>
        </w:tc>
        <w:tc>
          <w:tcPr>
            <w:tcW w:w="655" w:type="dxa"/>
            <w:vAlign w:val="center"/>
          </w:tcPr>
          <w:p w14:paraId="7DDC2D5A">
            <w:pPr>
              <w:pStyle w:val="17"/>
              <w:widowControl w:val="0"/>
            </w:pPr>
          </w:p>
        </w:tc>
        <w:tc>
          <w:tcPr>
            <w:tcW w:w="655" w:type="dxa"/>
            <w:vAlign w:val="center"/>
          </w:tcPr>
          <w:p w14:paraId="13989988">
            <w:pPr>
              <w:pStyle w:val="17"/>
              <w:widowControl w:val="0"/>
            </w:pPr>
          </w:p>
        </w:tc>
        <w:tc>
          <w:tcPr>
            <w:tcW w:w="1452" w:type="dxa"/>
            <w:tcBorders>
              <w:right w:val="single" w:color="auto" w:sz="12" w:space="0"/>
            </w:tcBorders>
            <w:vAlign w:val="center"/>
          </w:tcPr>
          <w:p w14:paraId="7952172C">
            <w:pPr>
              <w:pStyle w:val="17"/>
              <w:widowControl w:val="0"/>
            </w:pPr>
            <w:r>
              <w:rPr>
                <w:rFonts w:hint="eastAsia"/>
              </w:rPr>
              <w:t>1</w:t>
            </w:r>
            <w:r>
              <w:t>00</w:t>
            </w:r>
          </w:p>
        </w:tc>
      </w:tr>
      <w:tr w14:paraId="45E7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2CFF3C3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tcBorders>
              <w:bottom w:val="single" w:color="auto" w:sz="12" w:space="0"/>
            </w:tcBorders>
            <w:vAlign w:val="center"/>
          </w:tcPr>
          <w:p w14:paraId="779E5188">
            <w:pPr>
              <w:pStyle w:val="17"/>
              <w:widowControl w:val="0"/>
            </w:pPr>
            <w:r>
              <w:rPr>
                <w:rFonts w:hint="eastAsia"/>
              </w:rPr>
              <w:t>2</w:t>
            </w:r>
            <w:r>
              <w:t>0%</w:t>
            </w:r>
          </w:p>
        </w:tc>
        <w:tc>
          <w:tcPr>
            <w:tcW w:w="2518" w:type="dxa"/>
            <w:tcBorders>
              <w:bottom w:val="single" w:color="auto" w:sz="12" w:space="0"/>
              <w:right w:val="double" w:color="auto" w:sz="4" w:space="0"/>
            </w:tcBorders>
            <w:vAlign w:val="center"/>
          </w:tcPr>
          <w:p w14:paraId="778490CA">
            <w:pPr>
              <w:pStyle w:val="17"/>
              <w:widowControl w:val="0"/>
            </w:pPr>
            <w:r>
              <w:rPr>
                <w:rFonts w:hint="eastAsia"/>
              </w:rPr>
              <w:t>操作考核</w:t>
            </w:r>
          </w:p>
        </w:tc>
        <w:tc>
          <w:tcPr>
            <w:tcW w:w="655" w:type="dxa"/>
            <w:tcBorders>
              <w:left w:val="double" w:color="auto" w:sz="4" w:space="0"/>
              <w:bottom w:val="single" w:color="auto" w:sz="12" w:space="0"/>
            </w:tcBorders>
            <w:vAlign w:val="center"/>
          </w:tcPr>
          <w:p w14:paraId="2C00B139">
            <w:pPr>
              <w:pStyle w:val="17"/>
              <w:widowControl w:val="0"/>
            </w:pPr>
          </w:p>
        </w:tc>
        <w:tc>
          <w:tcPr>
            <w:tcW w:w="655" w:type="dxa"/>
            <w:tcBorders>
              <w:bottom w:val="single" w:color="auto" w:sz="12" w:space="0"/>
            </w:tcBorders>
            <w:vAlign w:val="center"/>
          </w:tcPr>
          <w:p w14:paraId="10DBFFCE">
            <w:pPr>
              <w:pStyle w:val="17"/>
              <w:widowControl w:val="0"/>
            </w:pPr>
            <w:r>
              <w:rPr>
                <w:rFonts w:hint="eastAsia"/>
              </w:rPr>
              <w:t>10</w:t>
            </w:r>
          </w:p>
        </w:tc>
        <w:tc>
          <w:tcPr>
            <w:tcW w:w="655" w:type="dxa"/>
            <w:tcBorders>
              <w:bottom w:val="single" w:color="auto" w:sz="12" w:space="0"/>
            </w:tcBorders>
            <w:vAlign w:val="center"/>
          </w:tcPr>
          <w:p w14:paraId="4C06C87C">
            <w:pPr>
              <w:pStyle w:val="17"/>
              <w:widowControl w:val="0"/>
            </w:pPr>
            <w:r>
              <w:rPr>
                <w:rFonts w:hint="eastAsia"/>
              </w:rPr>
              <w:t>80</w:t>
            </w:r>
          </w:p>
        </w:tc>
        <w:tc>
          <w:tcPr>
            <w:tcW w:w="655" w:type="dxa"/>
            <w:tcBorders>
              <w:bottom w:val="single" w:color="auto" w:sz="12" w:space="0"/>
            </w:tcBorders>
            <w:vAlign w:val="center"/>
          </w:tcPr>
          <w:p w14:paraId="19485372">
            <w:pPr>
              <w:pStyle w:val="17"/>
              <w:widowControl w:val="0"/>
            </w:pPr>
            <w:r>
              <w:rPr>
                <w:rFonts w:hint="eastAsia"/>
              </w:rPr>
              <w:t>1</w:t>
            </w:r>
            <w:r>
              <w:t>0</w:t>
            </w:r>
          </w:p>
        </w:tc>
        <w:tc>
          <w:tcPr>
            <w:tcW w:w="655" w:type="dxa"/>
            <w:tcBorders>
              <w:bottom w:val="single" w:color="auto" w:sz="12" w:space="0"/>
            </w:tcBorders>
            <w:vAlign w:val="center"/>
          </w:tcPr>
          <w:p w14:paraId="03829D2A">
            <w:pPr>
              <w:pStyle w:val="17"/>
              <w:widowControl w:val="0"/>
            </w:pPr>
          </w:p>
        </w:tc>
        <w:tc>
          <w:tcPr>
            <w:tcW w:w="1452" w:type="dxa"/>
            <w:tcBorders>
              <w:bottom w:val="single" w:color="auto" w:sz="12" w:space="0"/>
              <w:right w:val="single" w:color="auto" w:sz="12" w:space="0"/>
            </w:tcBorders>
            <w:vAlign w:val="center"/>
          </w:tcPr>
          <w:p w14:paraId="7D6D1E86">
            <w:pPr>
              <w:pStyle w:val="17"/>
              <w:widowControl w:val="0"/>
            </w:pPr>
            <w:r>
              <w:rPr>
                <w:rFonts w:hint="eastAsia"/>
              </w:rPr>
              <w:t>1</w:t>
            </w:r>
            <w:r>
              <w:t>00</w:t>
            </w:r>
          </w:p>
        </w:tc>
      </w:tr>
      <w:bookmarkEnd w:id="14"/>
    </w:tbl>
    <w:p w14:paraId="2BFC1A22">
      <w:pPr>
        <w:pStyle w:val="20"/>
        <w:spacing w:before="326" w:beforeLines="100" w:after="163"/>
        <w:jc w:val="center"/>
      </w:pPr>
      <w:r>
        <w:rPr>
          <w:rFonts w:hint="eastAsia"/>
        </w:rPr>
        <w:t>评价标准细则（选填）</w:t>
      </w:r>
    </w:p>
    <w:tbl>
      <w:tblPr>
        <w:tblStyle w:val="10"/>
        <w:tblW w:w="48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836"/>
        <w:gridCol w:w="1811"/>
        <w:gridCol w:w="1811"/>
        <w:gridCol w:w="1811"/>
        <w:gridCol w:w="1811"/>
        <w:gridCol w:w="1585"/>
      </w:tblGrid>
      <w:tr w14:paraId="5FB2E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1" w:type="dxa"/>
            <w:vMerge w:val="restart"/>
            <w:vAlign w:val="center"/>
          </w:tcPr>
          <w:p w14:paraId="76AC28CD">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836" w:type="dxa"/>
            <w:vMerge w:val="restart"/>
          </w:tcPr>
          <w:p w14:paraId="6BA5EC4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9414408">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BF5BF6A">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6AA44C3">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811" w:type="dxa"/>
            <w:vMerge w:val="restart"/>
            <w:vAlign w:val="center"/>
          </w:tcPr>
          <w:p w14:paraId="48890358">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7018" w:type="dxa"/>
            <w:gridSpan w:val="4"/>
            <w:vAlign w:val="center"/>
          </w:tcPr>
          <w:p w14:paraId="4CFF8566">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C214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1" w:type="dxa"/>
            <w:vMerge w:val="continue"/>
          </w:tcPr>
          <w:p w14:paraId="023CE3CE">
            <w:pPr>
              <w:widowControl w:val="0"/>
              <w:snapToGrid w:val="0"/>
              <w:jc w:val="center"/>
              <w:rPr>
                <w:rFonts w:ascii="黑体" w:hAnsi="黑体" w:eastAsia="黑体"/>
                <w:bCs/>
                <w:sz w:val="21"/>
                <w:szCs w:val="21"/>
              </w:rPr>
            </w:pPr>
          </w:p>
        </w:tc>
        <w:tc>
          <w:tcPr>
            <w:tcW w:w="836" w:type="dxa"/>
            <w:vMerge w:val="continue"/>
          </w:tcPr>
          <w:p w14:paraId="0757EAEB">
            <w:pPr>
              <w:pStyle w:val="19"/>
              <w:widowControl w:val="0"/>
              <w:jc w:val="both"/>
              <w:rPr>
                <w:rFonts w:ascii="黑体" w:hAnsi="黑体"/>
                <w:bCs/>
                <w:sz w:val="21"/>
                <w:szCs w:val="21"/>
              </w:rPr>
            </w:pPr>
          </w:p>
        </w:tc>
        <w:tc>
          <w:tcPr>
            <w:tcW w:w="1811" w:type="dxa"/>
            <w:vMerge w:val="continue"/>
          </w:tcPr>
          <w:p w14:paraId="49F434CA">
            <w:pPr>
              <w:pStyle w:val="19"/>
              <w:widowControl w:val="0"/>
              <w:jc w:val="both"/>
              <w:rPr>
                <w:rFonts w:ascii="黑体" w:hAnsi="黑体"/>
                <w:bCs/>
                <w:sz w:val="21"/>
                <w:szCs w:val="21"/>
              </w:rPr>
            </w:pPr>
          </w:p>
        </w:tc>
        <w:tc>
          <w:tcPr>
            <w:tcW w:w="1811" w:type="dxa"/>
            <w:vAlign w:val="center"/>
          </w:tcPr>
          <w:p w14:paraId="41856670">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6D62538">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811" w:type="dxa"/>
            <w:vAlign w:val="center"/>
          </w:tcPr>
          <w:p w14:paraId="2FF0CCD3">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FAC590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811" w:type="dxa"/>
            <w:vAlign w:val="center"/>
          </w:tcPr>
          <w:p w14:paraId="3464013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8324C55">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585" w:type="dxa"/>
            <w:vAlign w:val="center"/>
          </w:tcPr>
          <w:p w14:paraId="5F95F647">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1C796AB">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3CAA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vAlign w:val="center"/>
          </w:tcPr>
          <w:p w14:paraId="788E50E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836" w:type="dxa"/>
            <w:vAlign w:val="center"/>
          </w:tcPr>
          <w:p w14:paraId="50F6D8E4">
            <w:pPr>
              <w:widowControl w:val="0"/>
              <w:snapToGrid w:val="0"/>
              <w:jc w:val="center"/>
              <w:rPr>
                <w:rFonts w:ascii="Arial" w:hAnsi="Arial" w:eastAsia="黑体" w:cs="Arial"/>
                <w:bCs/>
                <w:sz w:val="21"/>
                <w:szCs w:val="21"/>
              </w:rPr>
            </w:pPr>
          </w:p>
        </w:tc>
        <w:tc>
          <w:tcPr>
            <w:tcW w:w="1811" w:type="dxa"/>
          </w:tcPr>
          <w:p w14:paraId="0E8BA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tcPr>
          <w:p w14:paraId="4E37739A">
            <w:pPr>
              <w:pStyle w:val="17"/>
              <w:widowControl w:val="0"/>
              <w:jc w:val="both"/>
            </w:pPr>
          </w:p>
        </w:tc>
        <w:tc>
          <w:tcPr>
            <w:tcW w:w="1811" w:type="dxa"/>
          </w:tcPr>
          <w:p w14:paraId="29DC84CD">
            <w:pPr>
              <w:pStyle w:val="17"/>
              <w:widowControl w:val="0"/>
              <w:jc w:val="both"/>
            </w:pPr>
          </w:p>
        </w:tc>
        <w:tc>
          <w:tcPr>
            <w:tcW w:w="1811" w:type="dxa"/>
          </w:tcPr>
          <w:p w14:paraId="13F1A12C">
            <w:pPr>
              <w:pStyle w:val="17"/>
              <w:widowControl w:val="0"/>
              <w:jc w:val="both"/>
            </w:pPr>
          </w:p>
        </w:tc>
        <w:tc>
          <w:tcPr>
            <w:tcW w:w="1585" w:type="dxa"/>
          </w:tcPr>
          <w:p w14:paraId="0042DB22">
            <w:pPr>
              <w:pStyle w:val="8"/>
              <w:widowControl/>
              <w:shd w:val="clear" w:color="auto" w:fill="FFFFFF"/>
              <w:jc w:val="both"/>
            </w:pPr>
          </w:p>
        </w:tc>
      </w:tr>
      <w:tr w14:paraId="5D7E6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vAlign w:val="center"/>
          </w:tcPr>
          <w:p w14:paraId="5F08EB1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836" w:type="dxa"/>
            <w:vAlign w:val="center"/>
          </w:tcPr>
          <w:p w14:paraId="4489B373">
            <w:pPr>
              <w:widowControl w:val="0"/>
              <w:snapToGrid w:val="0"/>
              <w:jc w:val="center"/>
              <w:rPr>
                <w:rFonts w:ascii="Arial" w:hAnsi="Arial" w:eastAsia="黑体" w:cs="Arial"/>
                <w:bCs/>
                <w:sz w:val="21"/>
                <w:szCs w:val="21"/>
              </w:rPr>
            </w:pPr>
          </w:p>
        </w:tc>
        <w:tc>
          <w:tcPr>
            <w:tcW w:w="1811" w:type="dxa"/>
            <w:vAlign w:val="center"/>
          </w:tcPr>
          <w:p w14:paraId="38679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4D513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03FC3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7774F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585" w:type="dxa"/>
            <w:vAlign w:val="center"/>
          </w:tcPr>
          <w:p w14:paraId="4E1FD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77A3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vAlign w:val="center"/>
          </w:tcPr>
          <w:p w14:paraId="4347A17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836" w:type="dxa"/>
            <w:vAlign w:val="center"/>
          </w:tcPr>
          <w:p w14:paraId="48810E28">
            <w:pPr>
              <w:widowControl w:val="0"/>
              <w:snapToGrid w:val="0"/>
              <w:jc w:val="center"/>
              <w:rPr>
                <w:rFonts w:ascii="Arial" w:hAnsi="Arial" w:eastAsia="黑体" w:cs="Arial"/>
                <w:bCs/>
                <w:sz w:val="21"/>
                <w:szCs w:val="21"/>
              </w:rPr>
            </w:pPr>
          </w:p>
        </w:tc>
        <w:tc>
          <w:tcPr>
            <w:tcW w:w="1811" w:type="dxa"/>
            <w:vAlign w:val="center"/>
          </w:tcPr>
          <w:p w14:paraId="2406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732C0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2C861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3A66D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585" w:type="dxa"/>
            <w:vAlign w:val="center"/>
          </w:tcPr>
          <w:p w14:paraId="18969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B06D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vAlign w:val="center"/>
          </w:tcPr>
          <w:p w14:paraId="5947C6A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836" w:type="dxa"/>
            <w:vAlign w:val="center"/>
          </w:tcPr>
          <w:p w14:paraId="4DCBD02C">
            <w:pPr>
              <w:widowControl w:val="0"/>
              <w:snapToGrid w:val="0"/>
              <w:jc w:val="center"/>
              <w:rPr>
                <w:rFonts w:ascii="Arial" w:hAnsi="Arial" w:eastAsia="黑体" w:cs="Arial"/>
                <w:bCs/>
                <w:sz w:val="21"/>
                <w:szCs w:val="21"/>
              </w:rPr>
            </w:pPr>
          </w:p>
        </w:tc>
        <w:tc>
          <w:tcPr>
            <w:tcW w:w="1811" w:type="dxa"/>
            <w:vAlign w:val="center"/>
          </w:tcPr>
          <w:p w14:paraId="4C29C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58D64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1782C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811" w:type="dxa"/>
            <w:vAlign w:val="center"/>
          </w:tcPr>
          <w:p w14:paraId="6E2283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585" w:type="dxa"/>
            <w:vAlign w:val="center"/>
          </w:tcPr>
          <w:p w14:paraId="258815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D5DC56A">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14:paraId="7886EC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456" w:type="dxa"/>
          </w:tcPr>
          <w:p w14:paraId="62DE6E6C">
            <w:pPr>
              <w:pStyle w:val="17"/>
              <w:widowControl w:val="0"/>
              <w:jc w:val="left"/>
              <w:rPr>
                <w:rFonts w:ascii="仿宋" w:hAnsi="仿宋" w:eastAsia="仿宋" w:cs="仿宋"/>
              </w:rPr>
            </w:pPr>
            <w:r>
              <w:rPr>
                <w:rFonts w:hint="eastAsia" w:ascii="仿宋" w:hAnsi="仿宋" w:eastAsia="仿宋" w:cs="仿宋"/>
              </w:rPr>
              <w:t>无。</w:t>
            </w:r>
          </w:p>
          <w:p w14:paraId="7C39C576">
            <w:pPr>
              <w:pStyle w:val="17"/>
              <w:widowControl w:val="0"/>
              <w:jc w:val="left"/>
              <w:rPr>
                <w:rFonts w:ascii="黑体"/>
              </w:rPr>
            </w:pPr>
          </w:p>
        </w:tc>
      </w:tr>
    </w:tbl>
    <w:p w14:paraId="4B4DC63C">
      <w:pPr>
        <w:pStyle w:val="19"/>
        <w:rPr>
          <w:rFonts w:ascii="黑体" w:hAnsi="宋体"/>
          <w:sz w:val="18"/>
          <w:szCs w:val="16"/>
        </w:rPr>
      </w:pPr>
    </w:p>
    <w:sectPr>
      <w:headerReference r:id="rId3" w:type="default"/>
      <w:pgSz w:w="11906" w:h="16838"/>
      <w:pgMar w:top="720" w:right="720" w:bottom="720" w:left="72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1E5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296806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296806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43F46"/>
    <w:multiLevelType w:val="multilevel"/>
    <w:tmpl w:val="4BD43F46"/>
    <w:lvl w:ilvl="0" w:tentative="0">
      <w:start w:val="1"/>
      <w:numFmt w:val="decimalEnclosedCircle"/>
      <w:lvlText w:val="%1"/>
      <w:lvlJc w:val="left"/>
      <w:pPr>
        <w:ind w:left="360" w:hanging="360"/>
      </w:pPr>
      <w:rPr>
        <w:rFonts w:hint="default"/>
        <w:sz w:val="2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TcwZjMxZmZhNWFmYmI2M2UyYjUyYjAzNTU2YzcifQ=="/>
  </w:docVars>
  <w:rsids>
    <w:rsidRoot w:val="00B7651F"/>
    <w:rsid w:val="00017B8F"/>
    <w:rsid w:val="000203E0"/>
    <w:rsid w:val="000210E0"/>
    <w:rsid w:val="000244B1"/>
    <w:rsid w:val="00024DC8"/>
    <w:rsid w:val="00033082"/>
    <w:rsid w:val="00044088"/>
    <w:rsid w:val="00047226"/>
    <w:rsid w:val="00053590"/>
    <w:rsid w:val="0006001D"/>
    <w:rsid w:val="00066041"/>
    <w:rsid w:val="000662F5"/>
    <w:rsid w:val="00076794"/>
    <w:rsid w:val="00077615"/>
    <w:rsid w:val="0008122A"/>
    <w:rsid w:val="00087488"/>
    <w:rsid w:val="0009050A"/>
    <w:rsid w:val="00092868"/>
    <w:rsid w:val="0009721F"/>
    <w:rsid w:val="000A4E73"/>
    <w:rsid w:val="000B1BD2"/>
    <w:rsid w:val="000C0F0D"/>
    <w:rsid w:val="000C13BC"/>
    <w:rsid w:val="000D1A86"/>
    <w:rsid w:val="000D28E5"/>
    <w:rsid w:val="000D34D7"/>
    <w:rsid w:val="000D7795"/>
    <w:rsid w:val="000F7D4F"/>
    <w:rsid w:val="00100633"/>
    <w:rsid w:val="001072BC"/>
    <w:rsid w:val="00114BD6"/>
    <w:rsid w:val="00123861"/>
    <w:rsid w:val="0012396B"/>
    <w:rsid w:val="00130F6D"/>
    <w:rsid w:val="00133554"/>
    <w:rsid w:val="001426CE"/>
    <w:rsid w:val="00144082"/>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F284E"/>
    <w:rsid w:val="001F332E"/>
    <w:rsid w:val="0020688A"/>
    <w:rsid w:val="0021393C"/>
    <w:rsid w:val="00217861"/>
    <w:rsid w:val="002204E4"/>
    <w:rsid w:val="002211BF"/>
    <w:rsid w:val="00233F15"/>
    <w:rsid w:val="002420F1"/>
    <w:rsid w:val="00244400"/>
    <w:rsid w:val="00245CC1"/>
    <w:rsid w:val="00253AC8"/>
    <w:rsid w:val="00256B39"/>
    <w:rsid w:val="0026033C"/>
    <w:rsid w:val="00262361"/>
    <w:rsid w:val="00262659"/>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C47"/>
    <w:rsid w:val="002E33CE"/>
    <w:rsid w:val="002E3721"/>
    <w:rsid w:val="002E6F95"/>
    <w:rsid w:val="002E764D"/>
    <w:rsid w:val="002F3157"/>
    <w:rsid w:val="002F6BD5"/>
    <w:rsid w:val="003025FD"/>
    <w:rsid w:val="00305F23"/>
    <w:rsid w:val="00313BBA"/>
    <w:rsid w:val="00317E29"/>
    <w:rsid w:val="00321515"/>
    <w:rsid w:val="00325714"/>
    <w:rsid w:val="0032602E"/>
    <w:rsid w:val="00327B8C"/>
    <w:rsid w:val="00331638"/>
    <w:rsid w:val="003344A7"/>
    <w:rsid w:val="00334623"/>
    <w:rsid w:val="003367AE"/>
    <w:rsid w:val="00340439"/>
    <w:rsid w:val="00344EF2"/>
    <w:rsid w:val="00347EB8"/>
    <w:rsid w:val="00347F80"/>
    <w:rsid w:val="003506DA"/>
    <w:rsid w:val="00353F74"/>
    <w:rsid w:val="003557DE"/>
    <w:rsid w:val="00361BEB"/>
    <w:rsid w:val="003629FB"/>
    <w:rsid w:val="0036333A"/>
    <w:rsid w:val="00365704"/>
    <w:rsid w:val="00370184"/>
    <w:rsid w:val="00373C8A"/>
    <w:rsid w:val="00377C10"/>
    <w:rsid w:val="0038278C"/>
    <w:rsid w:val="00384A1F"/>
    <w:rsid w:val="00384D60"/>
    <w:rsid w:val="00385D41"/>
    <w:rsid w:val="003861BA"/>
    <w:rsid w:val="003A1680"/>
    <w:rsid w:val="003A1F1E"/>
    <w:rsid w:val="003A373C"/>
    <w:rsid w:val="003A4235"/>
    <w:rsid w:val="003A5874"/>
    <w:rsid w:val="003B1258"/>
    <w:rsid w:val="003B4A81"/>
    <w:rsid w:val="003B5CF2"/>
    <w:rsid w:val="003C1AAC"/>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4BA5"/>
    <w:rsid w:val="00425431"/>
    <w:rsid w:val="00431829"/>
    <w:rsid w:val="0043511C"/>
    <w:rsid w:val="00437B60"/>
    <w:rsid w:val="004405E6"/>
    <w:rsid w:val="00443C84"/>
    <w:rsid w:val="00443C89"/>
    <w:rsid w:val="004540AA"/>
    <w:rsid w:val="00456BD8"/>
    <w:rsid w:val="00456DC8"/>
    <w:rsid w:val="0046549D"/>
    <w:rsid w:val="00471668"/>
    <w:rsid w:val="004743C8"/>
    <w:rsid w:val="00481F98"/>
    <w:rsid w:val="004852BF"/>
    <w:rsid w:val="004859FC"/>
    <w:rsid w:val="00487A46"/>
    <w:rsid w:val="00493504"/>
    <w:rsid w:val="00494579"/>
    <w:rsid w:val="00495535"/>
    <w:rsid w:val="00495974"/>
    <w:rsid w:val="00497334"/>
    <w:rsid w:val="004A464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4F794A"/>
    <w:rsid w:val="004F7A25"/>
    <w:rsid w:val="00504DF9"/>
    <w:rsid w:val="005074E1"/>
    <w:rsid w:val="00507D7D"/>
    <w:rsid w:val="005126F1"/>
    <w:rsid w:val="00513F2F"/>
    <w:rsid w:val="0051612A"/>
    <w:rsid w:val="00517176"/>
    <w:rsid w:val="0052192E"/>
    <w:rsid w:val="00524300"/>
    <w:rsid w:val="005248AA"/>
    <w:rsid w:val="00532FD6"/>
    <w:rsid w:val="00541F72"/>
    <w:rsid w:val="00542388"/>
    <w:rsid w:val="005426F0"/>
    <w:rsid w:val="00544523"/>
    <w:rsid w:val="005467DC"/>
    <w:rsid w:val="00546A82"/>
    <w:rsid w:val="00547C51"/>
    <w:rsid w:val="00551335"/>
    <w:rsid w:val="005519BB"/>
    <w:rsid w:val="005523FD"/>
    <w:rsid w:val="00553D03"/>
    <w:rsid w:val="00555BA0"/>
    <w:rsid w:val="00556E41"/>
    <w:rsid w:val="00571304"/>
    <w:rsid w:val="0057496F"/>
    <w:rsid w:val="005770A6"/>
    <w:rsid w:val="0059045B"/>
    <w:rsid w:val="00592B66"/>
    <w:rsid w:val="00597EC2"/>
    <w:rsid w:val="005A13AB"/>
    <w:rsid w:val="005B1150"/>
    <w:rsid w:val="005B1FFC"/>
    <w:rsid w:val="005B2B6D"/>
    <w:rsid w:val="005B4B4E"/>
    <w:rsid w:val="005C3A76"/>
    <w:rsid w:val="005D391F"/>
    <w:rsid w:val="005D5B6F"/>
    <w:rsid w:val="005E38A5"/>
    <w:rsid w:val="005F5185"/>
    <w:rsid w:val="006011DD"/>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5CCC"/>
    <w:rsid w:val="00676183"/>
    <w:rsid w:val="0068060F"/>
    <w:rsid w:val="00680DA3"/>
    <w:rsid w:val="0068377F"/>
    <w:rsid w:val="00691B24"/>
    <w:rsid w:val="00695B93"/>
    <w:rsid w:val="00697C16"/>
    <w:rsid w:val="006A5A89"/>
    <w:rsid w:val="006A699D"/>
    <w:rsid w:val="006B3BB9"/>
    <w:rsid w:val="006B48AC"/>
    <w:rsid w:val="006B5977"/>
    <w:rsid w:val="006D1B59"/>
    <w:rsid w:val="006D2F9C"/>
    <w:rsid w:val="006D4351"/>
    <w:rsid w:val="006D5424"/>
    <w:rsid w:val="006E5CA9"/>
    <w:rsid w:val="006E5E98"/>
    <w:rsid w:val="006E7A37"/>
    <w:rsid w:val="006F0716"/>
    <w:rsid w:val="006F3151"/>
    <w:rsid w:val="007011CA"/>
    <w:rsid w:val="007056DE"/>
    <w:rsid w:val="00706121"/>
    <w:rsid w:val="00710B6B"/>
    <w:rsid w:val="00712A2C"/>
    <w:rsid w:val="00712E84"/>
    <w:rsid w:val="00714914"/>
    <w:rsid w:val="0071663B"/>
    <w:rsid w:val="007208D6"/>
    <w:rsid w:val="007252BA"/>
    <w:rsid w:val="0072584A"/>
    <w:rsid w:val="007258EF"/>
    <w:rsid w:val="00726714"/>
    <w:rsid w:val="00726786"/>
    <w:rsid w:val="00732152"/>
    <w:rsid w:val="007428DF"/>
    <w:rsid w:val="00742BD1"/>
    <w:rsid w:val="00742E7A"/>
    <w:rsid w:val="0074424F"/>
    <w:rsid w:val="00755DB7"/>
    <w:rsid w:val="007629C7"/>
    <w:rsid w:val="00764FD9"/>
    <w:rsid w:val="007740B2"/>
    <w:rsid w:val="00774C1F"/>
    <w:rsid w:val="0078194F"/>
    <w:rsid w:val="007934A4"/>
    <w:rsid w:val="007971F6"/>
    <w:rsid w:val="007A0AC9"/>
    <w:rsid w:val="007A1B70"/>
    <w:rsid w:val="007A38B5"/>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3987"/>
    <w:rsid w:val="0083705D"/>
    <w:rsid w:val="0084242F"/>
    <w:rsid w:val="00845795"/>
    <w:rsid w:val="00847437"/>
    <w:rsid w:val="00852CA2"/>
    <w:rsid w:val="00857FA5"/>
    <w:rsid w:val="00882E15"/>
    <w:rsid w:val="00883C73"/>
    <w:rsid w:val="008901A2"/>
    <w:rsid w:val="008A08B0"/>
    <w:rsid w:val="008A2492"/>
    <w:rsid w:val="008B0385"/>
    <w:rsid w:val="008B07BD"/>
    <w:rsid w:val="008B1082"/>
    <w:rsid w:val="008B188E"/>
    <w:rsid w:val="008B397C"/>
    <w:rsid w:val="008B3D54"/>
    <w:rsid w:val="008B4466"/>
    <w:rsid w:val="008B47F4"/>
    <w:rsid w:val="008B7448"/>
    <w:rsid w:val="008B7E1E"/>
    <w:rsid w:val="008C2483"/>
    <w:rsid w:val="008C2AE6"/>
    <w:rsid w:val="008C2DE8"/>
    <w:rsid w:val="008C5113"/>
    <w:rsid w:val="008C5B8A"/>
    <w:rsid w:val="008D01D5"/>
    <w:rsid w:val="008D3D5F"/>
    <w:rsid w:val="008D4E81"/>
    <w:rsid w:val="008D505F"/>
    <w:rsid w:val="008E0F55"/>
    <w:rsid w:val="008E71C7"/>
    <w:rsid w:val="008F253F"/>
    <w:rsid w:val="008F7F31"/>
    <w:rsid w:val="00900019"/>
    <w:rsid w:val="00901647"/>
    <w:rsid w:val="009023B1"/>
    <w:rsid w:val="009147D6"/>
    <w:rsid w:val="00914D98"/>
    <w:rsid w:val="00925F8C"/>
    <w:rsid w:val="00927324"/>
    <w:rsid w:val="00932E8B"/>
    <w:rsid w:val="00932ED7"/>
    <w:rsid w:val="00933990"/>
    <w:rsid w:val="00941B89"/>
    <w:rsid w:val="00941DEA"/>
    <w:rsid w:val="009656CC"/>
    <w:rsid w:val="00970E8C"/>
    <w:rsid w:val="00971671"/>
    <w:rsid w:val="00977128"/>
    <w:rsid w:val="00977738"/>
    <w:rsid w:val="00981A37"/>
    <w:rsid w:val="009830B2"/>
    <w:rsid w:val="0099063E"/>
    <w:rsid w:val="00992356"/>
    <w:rsid w:val="00992674"/>
    <w:rsid w:val="00992925"/>
    <w:rsid w:val="00994793"/>
    <w:rsid w:val="00996AE3"/>
    <w:rsid w:val="00996D46"/>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85D"/>
    <w:rsid w:val="009D3B45"/>
    <w:rsid w:val="009D7CF9"/>
    <w:rsid w:val="009E017A"/>
    <w:rsid w:val="009E2931"/>
    <w:rsid w:val="009E2CCC"/>
    <w:rsid w:val="009E2CDD"/>
    <w:rsid w:val="009E366E"/>
    <w:rsid w:val="009E5DDC"/>
    <w:rsid w:val="009E6FC4"/>
    <w:rsid w:val="009F00DC"/>
    <w:rsid w:val="009F3199"/>
    <w:rsid w:val="009F3355"/>
    <w:rsid w:val="009F3648"/>
    <w:rsid w:val="009F3B7A"/>
    <w:rsid w:val="009F54D0"/>
    <w:rsid w:val="009F66CA"/>
    <w:rsid w:val="00A04523"/>
    <w:rsid w:val="00A06364"/>
    <w:rsid w:val="00A135A1"/>
    <w:rsid w:val="00A16159"/>
    <w:rsid w:val="00A161E6"/>
    <w:rsid w:val="00A17885"/>
    <w:rsid w:val="00A2337D"/>
    <w:rsid w:val="00A25A31"/>
    <w:rsid w:val="00A31BBE"/>
    <w:rsid w:val="00A31D34"/>
    <w:rsid w:val="00A333EF"/>
    <w:rsid w:val="00A33F85"/>
    <w:rsid w:val="00A40645"/>
    <w:rsid w:val="00A44FF0"/>
    <w:rsid w:val="00A6016C"/>
    <w:rsid w:val="00A64D90"/>
    <w:rsid w:val="00A74A73"/>
    <w:rsid w:val="00A769B1"/>
    <w:rsid w:val="00A77DA3"/>
    <w:rsid w:val="00A837D5"/>
    <w:rsid w:val="00A83E04"/>
    <w:rsid w:val="00A83F2C"/>
    <w:rsid w:val="00A91091"/>
    <w:rsid w:val="00A93EE3"/>
    <w:rsid w:val="00A94BA9"/>
    <w:rsid w:val="00A9535A"/>
    <w:rsid w:val="00A97C35"/>
    <w:rsid w:val="00AA4970"/>
    <w:rsid w:val="00AA536D"/>
    <w:rsid w:val="00AA7069"/>
    <w:rsid w:val="00AB04D9"/>
    <w:rsid w:val="00AB22C0"/>
    <w:rsid w:val="00AB28FC"/>
    <w:rsid w:val="00AB49E4"/>
    <w:rsid w:val="00AC1479"/>
    <w:rsid w:val="00AC2697"/>
    <w:rsid w:val="00AC2AAC"/>
    <w:rsid w:val="00AC40F1"/>
    <w:rsid w:val="00AC4C45"/>
    <w:rsid w:val="00AD1085"/>
    <w:rsid w:val="00AD3DB7"/>
    <w:rsid w:val="00AD5B40"/>
    <w:rsid w:val="00AD69FB"/>
    <w:rsid w:val="00AF0DAC"/>
    <w:rsid w:val="00AF289F"/>
    <w:rsid w:val="00AF30B9"/>
    <w:rsid w:val="00AF43DF"/>
    <w:rsid w:val="00AF67A4"/>
    <w:rsid w:val="00AF7510"/>
    <w:rsid w:val="00B063B5"/>
    <w:rsid w:val="00B12D31"/>
    <w:rsid w:val="00B15F6E"/>
    <w:rsid w:val="00B2014B"/>
    <w:rsid w:val="00B21BEE"/>
    <w:rsid w:val="00B23284"/>
    <w:rsid w:val="00B37D43"/>
    <w:rsid w:val="00B46F21"/>
    <w:rsid w:val="00B505F4"/>
    <w:rsid w:val="00B511A5"/>
    <w:rsid w:val="00B51CDE"/>
    <w:rsid w:val="00B54156"/>
    <w:rsid w:val="00B56541"/>
    <w:rsid w:val="00B605ED"/>
    <w:rsid w:val="00B7165C"/>
    <w:rsid w:val="00B71F97"/>
    <w:rsid w:val="00B72538"/>
    <w:rsid w:val="00B736A7"/>
    <w:rsid w:val="00B7651F"/>
    <w:rsid w:val="00B76730"/>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05FF0"/>
    <w:rsid w:val="00C112E7"/>
    <w:rsid w:val="00C11C78"/>
    <w:rsid w:val="00C11CD4"/>
    <w:rsid w:val="00C15061"/>
    <w:rsid w:val="00C1713D"/>
    <w:rsid w:val="00C20D9D"/>
    <w:rsid w:val="00C2134F"/>
    <w:rsid w:val="00C24718"/>
    <w:rsid w:val="00C2675D"/>
    <w:rsid w:val="00C30AEE"/>
    <w:rsid w:val="00C3135A"/>
    <w:rsid w:val="00C33362"/>
    <w:rsid w:val="00C34C63"/>
    <w:rsid w:val="00C353AE"/>
    <w:rsid w:val="00C4194E"/>
    <w:rsid w:val="00C516B1"/>
    <w:rsid w:val="00C5350C"/>
    <w:rsid w:val="00C56235"/>
    <w:rsid w:val="00C56E09"/>
    <w:rsid w:val="00C61B1B"/>
    <w:rsid w:val="00C63656"/>
    <w:rsid w:val="00C66AB7"/>
    <w:rsid w:val="00C673D1"/>
    <w:rsid w:val="00C746CB"/>
    <w:rsid w:val="00C77BBF"/>
    <w:rsid w:val="00C77D64"/>
    <w:rsid w:val="00C81564"/>
    <w:rsid w:val="00C81DEF"/>
    <w:rsid w:val="00C87580"/>
    <w:rsid w:val="00C9080C"/>
    <w:rsid w:val="00C94429"/>
    <w:rsid w:val="00CA18FD"/>
    <w:rsid w:val="00CA27E5"/>
    <w:rsid w:val="00CA4897"/>
    <w:rsid w:val="00CA6928"/>
    <w:rsid w:val="00CB3D3F"/>
    <w:rsid w:val="00CB5A1A"/>
    <w:rsid w:val="00CC294F"/>
    <w:rsid w:val="00CC59E6"/>
    <w:rsid w:val="00CC7D3C"/>
    <w:rsid w:val="00CD1888"/>
    <w:rsid w:val="00CD3BB5"/>
    <w:rsid w:val="00CD5BDD"/>
    <w:rsid w:val="00CE0D56"/>
    <w:rsid w:val="00CF096B"/>
    <w:rsid w:val="00CF10F7"/>
    <w:rsid w:val="00CF5EE3"/>
    <w:rsid w:val="00CF691F"/>
    <w:rsid w:val="00D00D99"/>
    <w:rsid w:val="00D013A4"/>
    <w:rsid w:val="00D026DC"/>
    <w:rsid w:val="00D03E88"/>
    <w:rsid w:val="00D15595"/>
    <w:rsid w:val="00D21234"/>
    <w:rsid w:val="00D2415F"/>
    <w:rsid w:val="00D2482A"/>
    <w:rsid w:val="00D343A8"/>
    <w:rsid w:val="00D35B0C"/>
    <w:rsid w:val="00D37832"/>
    <w:rsid w:val="00D44860"/>
    <w:rsid w:val="00D47689"/>
    <w:rsid w:val="00D50656"/>
    <w:rsid w:val="00D50C42"/>
    <w:rsid w:val="00D57CF5"/>
    <w:rsid w:val="00D612BC"/>
    <w:rsid w:val="00D62F98"/>
    <w:rsid w:val="00D66FD6"/>
    <w:rsid w:val="00D8285B"/>
    <w:rsid w:val="00D862EB"/>
    <w:rsid w:val="00D86619"/>
    <w:rsid w:val="00D93E7C"/>
    <w:rsid w:val="00DA075E"/>
    <w:rsid w:val="00DB2BE6"/>
    <w:rsid w:val="00DB76B3"/>
    <w:rsid w:val="00DD1052"/>
    <w:rsid w:val="00DD167C"/>
    <w:rsid w:val="00DD3C7B"/>
    <w:rsid w:val="00DD5966"/>
    <w:rsid w:val="00DE2B21"/>
    <w:rsid w:val="00DE32E1"/>
    <w:rsid w:val="00DE48DE"/>
    <w:rsid w:val="00DF0048"/>
    <w:rsid w:val="00DF25F2"/>
    <w:rsid w:val="00DF3B32"/>
    <w:rsid w:val="00DF4166"/>
    <w:rsid w:val="00DF6484"/>
    <w:rsid w:val="00E000F4"/>
    <w:rsid w:val="00E01231"/>
    <w:rsid w:val="00E026F1"/>
    <w:rsid w:val="00E04279"/>
    <w:rsid w:val="00E11393"/>
    <w:rsid w:val="00E125D9"/>
    <w:rsid w:val="00E16D30"/>
    <w:rsid w:val="00E20DE0"/>
    <w:rsid w:val="00E31E69"/>
    <w:rsid w:val="00E33169"/>
    <w:rsid w:val="00E34A7B"/>
    <w:rsid w:val="00E3751F"/>
    <w:rsid w:val="00E40973"/>
    <w:rsid w:val="00E45507"/>
    <w:rsid w:val="00E545FF"/>
    <w:rsid w:val="00E6080E"/>
    <w:rsid w:val="00E64168"/>
    <w:rsid w:val="00E655B3"/>
    <w:rsid w:val="00E6769A"/>
    <w:rsid w:val="00E7081D"/>
    <w:rsid w:val="00E70904"/>
    <w:rsid w:val="00E71319"/>
    <w:rsid w:val="00E75171"/>
    <w:rsid w:val="00E75332"/>
    <w:rsid w:val="00E804B0"/>
    <w:rsid w:val="00E86772"/>
    <w:rsid w:val="00E879D2"/>
    <w:rsid w:val="00E90B8B"/>
    <w:rsid w:val="00E93ADD"/>
    <w:rsid w:val="00E952D8"/>
    <w:rsid w:val="00E97206"/>
    <w:rsid w:val="00EB00E4"/>
    <w:rsid w:val="00EB28DA"/>
    <w:rsid w:val="00EB3812"/>
    <w:rsid w:val="00EB44EB"/>
    <w:rsid w:val="00EB66B8"/>
    <w:rsid w:val="00EB791E"/>
    <w:rsid w:val="00EB7BE6"/>
    <w:rsid w:val="00EC1FEA"/>
    <w:rsid w:val="00EC70A9"/>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101F"/>
    <w:rsid w:val="00F53DD4"/>
    <w:rsid w:val="00F544A2"/>
    <w:rsid w:val="00F73D03"/>
    <w:rsid w:val="00F76CB9"/>
    <w:rsid w:val="00F77A73"/>
    <w:rsid w:val="00F80E46"/>
    <w:rsid w:val="00F96236"/>
    <w:rsid w:val="00FA10CE"/>
    <w:rsid w:val="00FA222F"/>
    <w:rsid w:val="00FA2891"/>
    <w:rsid w:val="00FB693D"/>
    <w:rsid w:val="00FB7768"/>
    <w:rsid w:val="00FC7489"/>
    <w:rsid w:val="00FD08CC"/>
    <w:rsid w:val="00FD1BA8"/>
    <w:rsid w:val="00FD218F"/>
    <w:rsid w:val="00FD5663"/>
    <w:rsid w:val="00FD56C6"/>
    <w:rsid w:val="00FE3221"/>
    <w:rsid w:val="00FE48EA"/>
    <w:rsid w:val="00FE571F"/>
    <w:rsid w:val="00FF47F6"/>
    <w:rsid w:val="00FF788C"/>
    <w:rsid w:val="016E63C2"/>
    <w:rsid w:val="024B0C39"/>
    <w:rsid w:val="04A4330E"/>
    <w:rsid w:val="0A8128A6"/>
    <w:rsid w:val="0BF32A1B"/>
    <w:rsid w:val="10BD2C22"/>
    <w:rsid w:val="197131F1"/>
    <w:rsid w:val="22987C80"/>
    <w:rsid w:val="24192CCC"/>
    <w:rsid w:val="288F572B"/>
    <w:rsid w:val="39A66CD4"/>
    <w:rsid w:val="3CD52CE1"/>
    <w:rsid w:val="410F2E6A"/>
    <w:rsid w:val="4430136C"/>
    <w:rsid w:val="4AB0382B"/>
    <w:rsid w:val="4F996332"/>
    <w:rsid w:val="569868B5"/>
    <w:rsid w:val="611F6817"/>
    <w:rsid w:val="631A632C"/>
    <w:rsid w:val="647B3D4D"/>
    <w:rsid w:val="66CA1754"/>
    <w:rsid w:val="674072DB"/>
    <w:rsid w:val="6F1E65D4"/>
    <w:rsid w:val="6F266C86"/>
    <w:rsid w:val="6F5042C2"/>
    <w:rsid w:val="6F872B43"/>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autoRedefine/>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0"/>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Char1"/>
    <w:basedOn w:val="11"/>
    <w:link w:val="7"/>
    <w:autoRedefine/>
    <w:semiHidden/>
    <w:qFormat/>
    <w:uiPriority w:val="99"/>
    <w:rPr>
      <w:sz w:val="18"/>
      <w:szCs w:val="18"/>
    </w:rPr>
  </w:style>
  <w:style w:type="character" w:customStyle="1" w:styleId="15">
    <w:name w:val="页脚 Char1"/>
    <w:basedOn w:val="11"/>
    <w:link w:val="6"/>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autoRedefine/>
    <w:qFormat/>
    <w:uiPriority w:val="9"/>
    <w:rPr>
      <w:rFonts w:ascii="Calibri" w:hAnsi="Calibri" w:eastAsia="宋体" w:cs="Times New Roman"/>
      <w:b/>
      <w:bCs/>
      <w:kern w:val="44"/>
      <w:sz w:val="44"/>
      <w:szCs w:val="44"/>
    </w:rPr>
  </w:style>
  <w:style w:type="character" w:customStyle="1" w:styleId="23">
    <w:name w:val="批注文字 Char"/>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Char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Char"/>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7D48D-0AD5-4372-9FFE-389FCAE3B510}">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8</Pages>
  <Words>1376</Words>
  <Characters>1469</Characters>
  <Lines>53</Lines>
  <Paragraphs>15</Paragraphs>
  <TotalTime>0</TotalTime>
  <ScaleCrop>false</ScaleCrop>
  <LinksUpToDate>false</LinksUpToDate>
  <CharactersWithSpaces>1494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2025-03-19T00:43:23Z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74D85F55FB004F2EABA669C1D2839E3A_12</vt:lpwstr>
  </property>
  <property fmtid="{D5CDD505-2E9C-101B-9397-08002B2CF9AE}" pid="4" name="KSOTemplateDocerSaveRecord">
    <vt:lpwstr>eyJoZGlkIjoiOGYyZTQwNzY0YmUwZjVjNTE5NzMzOGJiOTgwZmM0NTEiLCJ1c2VySWQiOiI1NTQ0NjQ5MzAifQ==</vt:lpwstr>
  </property>
</Properties>
</file>