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【医学统计学】</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szCs w:val="21"/>
        </w:rPr>
        <w:t>Medical Statistics</w:t>
      </w:r>
      <w:r>
        <w:rPr>
          <w:rFonts w:hint="eastAsia"/>
          <w:b/>
          <w:sz w:val="28"/>
          <w:szCs w:val="30"/>
        </w:rPr>
        <w:t>】</w:t>
      </w:r>
      <w:bookmarkStart w:id="0" w:name="a2"/>
      <w:bookmarkEnd w:id="0"/>
    </w:p>
    <w:p>
      <w:pPr>
        <w:spacing w:before="156" w:beforeLines="50" w:after="156" w:afterLines="50" w:line="288" w:lineRule="auto"/>
        <w:ind w:firstLine="360" w:firstLineChars="150"/>
        <w:rPr>
          <w:rFonts w:hint="eastAsia"/>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bCs/>
          <w:sz w:val="20"/>
          <w:szCs w:val="20"/>
        </w:rPr>
        <w:t>2170005</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课程学分：2</w:t>
      </w:r>
      <w:r>
        <w:rPr>
          <w:color w:val="000000"/>
          <w:szCs w:val="21"/>
        </w:rPr>
        <w:t xml:space="preserve"> </w:t>
      </w:r>
    </w:p>
    <w:p>
      <w:pPr>
        <w:snapToGrid w:val="0"/>
        <w:spacing w:line="288" w:lineRule="auto"/>
        <w:ind w:firstLine="394" w:firstLineChars="196"/>
        <w:rPr>
          <w:rFonts w:hint="default" w:eastAsia="宋体"/>
          <w:color w:val="000000"/>
          <w:szCs w:val="21"/>
          <w:lang w:val="en-US" w:eastAsia="zh-CN"/>
        </w:rPr>
      </w:pPr>
      <w:r>
        <w:rPr>
          <w:b/>
          <w:bCs/>
          <w:color w:val="000000"/>
          <w:sz w:val="20"/>
          <w:szCs w:val="20"/>
        </w:rPr>
        <w:t>面向专业：</w:t>
      </w:r>
      <w:r>
        <w:rPr>
          <w:rFonts w:hint="eastAsia"/>
          <w:b/>
          <w:bCs/>
          <w:color w:val="000000"/>
          <w:sz w:val="20"/>
          <w:szCs w:val="20"/>
          <w:lang w:val="en-US" w:eastAsia="zh-CN"/>
        </w:rPr>
        <w:t>健康服务与管理</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健康管理学院-健康服务与管理系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李康．医学统计学．北京：人民卫生出版社，201</w:t>
      </w:r>
      <w:r>
        <w:rPr>
          <w:color w:val="000000"/>
          <w:sz w:val="20"/>
          <w:szCs w:val="20"/>
        </w:rPr>
        <w:t>8</w:t>
      </w:r>
      <w:r>
        <w:rPr>
          <w:rFonts w:hint="eastAsia"/>
          <w:color w:val="000000"/>
          <w:sz w:val="20"/>
          <w:szCs w:val="20"/>
        </w:rPr>
        <w:t>.0</w:t>
      </w:r>
      <w:r>
        <w:rPr>
          <w:color w:val="000000"/>
          <w:sz w:val="20"/>
          <w:szCs w:val="20"/>
        </w:rPr>
        <w:t>8】</w:t>
      </w:r>
    </w:p>
    <w:p>
      <w:pPr>
        <w:snapToGrid w:val="0"/>
        <w:spacing w:line="288" w:lineRule="auto"/>
        <w:ind w:firstLine="800" w:firstLineChars="40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1</w:t>
      </w:r>
      <w:r>
        <w:rPr>
          <w:color w:val="000000"/>
          <w:sz w:val="20"/>
          <w:szCs w:val="20"/>
        </w:rPr>
        <w:t>.</w:t>
      </w:r>
      <w:r>
        <w:rPr>
          <w:rFonts w:hint="eastAsia"/>
          <w:color w:val="000000"/>
          <w:sz w:val="20"/>
          <w:szCs w:val="20"/>
        </w:rPr>
        <w:t>潘发明.</w:t>
      </w:r>
      <w:r>
        <w:rPr>
          <w:color w:val="000000"/>
          <w:sz w:val="20"/>
          <w:szCs w:val="20"/>
        </w:rPr>
        <w:t>医用统计方法及其SPSS软件</w:t>
      </w:r>
      <w:r>
        <w:rPr>
          <w:rFonts w:hint="eastAsia"/>
          <w:color w:val="000000"/>
          <w:sz w:val="20"/>
          <w:szCs w:val="20"/>
        </w:rPr>
        <w:t>实现.北京：中国科学技术出版社，2</w:t>
      </w:r>
      <w:r>
        <w:rPr>
          <w:color w:val="000000"/>
          <w:sz w:val="20"/>
          <w:szCs w:val="20"/>
        </w:rPr>
        <w:t>015</w:t>
      </w:r>
    </w:p>
    <w:p>
      <w:pPr>
        <w:snapToGrid w:val="0"/>
        <w:spacing w:line="288" w:lineRule="auto"/>
        <w:ind w:firstLine="1800" w:firstLineChars="900"/>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祝国强</w:t>
      </w:r>
      <w:r>
        <w:rPr>
          <w:color w:val="000000"/>
          <w:sz w:val="20"/>
          <w:szCs w:val="20"/>
        </w:rPr>
        <w:t>.医药数理统计方法</w:t>
      </w:r>
      <w:r>
        <w:rPr>
          <w:rFonts w:hint="eastAsia"/>
          <w:color w:val="000000"/>
          <w:sz w:val="20"/>
          <w:szCs w:val="20"/>
        </w:rPr>
        <w:t>.北京：高等教育出版社，2</w:t>
      </w:r>
      <w:r>
        <w:rPr>
          <w:color w:val="000000"/>
          <w:sz w:val="20"/>
          <w:szCs w:val="20"/>
        </w:rPr>
        <w:t>014</w:t>
      </w:r>
    </w:p>
    <w:p>
      <w:pPr>
        <w:snapToGrid w:val="0"/>
        <w:spacing w:line="288" w:lineRule="auto"/>
        <w:ind w:firstLine="1800" w:firstLineChars="900"/>
        <w:rPr>
          <w:color w:val="000000"/>
          <w:sz w:val="20"/>
          <w:szCs w:val="20"/>
        </w:rPr>
      </w:pPr>
      <w:r>
        <w:rPr>
          <w:color w:val="000000"/>
          <w:sz w:val="20"/>
          <w:szCs w:val="20"/>
        </w:rPr>
        <w:t>3.</w:t>
      </w:r>
      <w:r>
        <w:rPr>
          <w:rFonts w:hint="eastAsia"/>
          <w:color w:val="000000"/>
          <w:sz w:val="20"/>
          <w:szCs w:val="20"/>
          <w:lang w:val="en-US" w:eastAsia="zh-CN"/>
        </w:rPr>
        <w:t>方积乾.</w:t>
      </w:r>
      <w:r>
        <w:rPr>
          <w:rFonts w:hint="eastAsia"/>
          <w:color w:val="000000"/>
          <w:sz w:val="20"/>
          <w:szCs w:val="20"/>
        </w:rPr>
        <w:t>卫生统计学</w:t>
      </w:r>
      <w:r>
        <w:rPr>
          <w:rFonts w:hint="eastAsia"/>
          <w:color w:val="000000"/>
          <w:sz w:val="20"/>
          <w:szCs w:val="20"/>
          <w:lang w:val="en-US" w:eastAsia="zh-CN"/>
        </w:rPr>
        <w:t xml:space="preserve">. </w:t>
      </w:r>
      <w:r>
        <w:rPr>
          <w:rFonts w:hint="eastAsia"/>
          <w:color w:val="000000"/>
          <w:sz w:val="20"/>
          <w:szCs w:val="20"/>
        </w:rPr>
        <w:t>北京：人民卫生出版社，2008</w:t>
      </w:r>
      <w:r>
        <w:rPr>
          <w:color w:val="000000"/>
          <w:sz w:val="20"/>
          <w:szCs w:val="20"/>
        </w:rPr>
        <w:t>】</w:t>
      </w:r>
    </w:p>
    <w:p>
      <w:pPr>
        <w:snapToGrid w:val="0"/>
        <w:spacing w:line="288" w:lineRule="auto"/>
        <w:ind w:firstLine="394" w:firstLineChars="196"/>
        <w:rPr>
          <w:color w:val="000000"/>
          <w:sz w:val="20"/>
          <w:szCs w:val="20"/>
        </w:rPr>
      </w:pPr>
      <w:r>
        <w:rPr>
          <w:rFonts w:hint="eastAsia"/>
          <w:b/>
          <w:bCs/>
          <w:color w:val="000000"/>
          <w:sz w:val="20"/>
          <w:szCs w:val="20"/>
        </w:rPr>
        <w:t>课程网站网址：无</w:t>
      </w:r>
    </w:p>
    <w:p>
      <w:pPr>
        <w:adjustRightInd w:val="0"/>
        <w:snapToGrid w:val="0"/>
        <w:spacing w:line="288" w:lineRule="auto"/>
        <w:ind w:firstLine="394" w:firstLineChars="196"/>
        <w:rPr>
          <w:color w:val="000000"/>
          <w:sz w:val="20"/>
          <w:szCs w:val="20"/>
        </w:rPr>
      </w:pPr>
      <w:r>
        <w:rPr>
          <w:b/>
          <w:bCs/>
          <w:color w:val="000000"/>
          <w:sz w:val="20"/>
          <w:szCs w:val="20"/>
        </w:rPr>
        <w:t>先修课程：</w:t>
      </w:r>
      <w:r>
        <w:rPr>
          <w:rFonts w:hint="eastAsia"/>
          <w:b/>
          <w:bCs/>
          <w:color w:val="000000"/>
          <w:sz w:val="20"/>
          <w:szCs w:val="20"/>
        </w:rPr>
        <w:t xml:space="preserve"> </w:t>
      </w:r>
      <w:r>
        <w:rPr>
          <w:color w:val="000000"/>
          <w:sz w:val="20"/>
          <w:szCs w:val="20"/>
        </w:rPr>
        <w:t>【</w:t>
      </w:r>
      <w:r>
        <w:rPr>
          <w:rFonts w:hint="eastAsia"/>
          <w:color w:val="000000"/>
          <w:sz w:val="20"/>
          <w:szCs w:val="20"/>
        </w:rPr>
        <w:t>大学信息技术 2050710（2）</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医学统计学》是开展医学研究的重要手段，是认识和揭示医学领域里各种数量特征的科学分析方法，是使医学科研得以成功的一种重要辅助工具。科技的迅速发展，大量信息的产生要求我们面对纷乱复杂的数据世界能够正确、科学地去认识和处理，医学统计分析是医学生教育培训必修课程，特别是中、高级医学人才的培养，应该使其懂得和掌握一些基本的医学科研设计原则或实验研究方法，能正确处理医学信息和数据，在未来的实践工作中发挥作用。医学统计是一种有力工具。它同科研的总体设计、资料采集、整理、分析直到最后做出结论都有密切关系。掌握了这个工具可以使用较少的人力、物力和时间获得比较可靠的结果。只有正确运用统计分析方法，才不致于造成不应有的缺陷或得出错误的结论。数据作为信息的主要载体广泛存在。我们就要借助统计学这个工具，在混沌中发现规律。统计学就是研究数据及其存在规律的科学。</w:t>
      </w:r>
    </w:p>
    <w:p>
      <w:pPr>
        <w:widowControl/>
        <w:spacing w:before="156" w:beforeLines="50" w:after="156" w:afterLines="50" w:line="288" w:lineRule="auto"/>
        <w:ind w:firstLine="360" w:firstLineChars="150"/>
        <w:jc w:val="left"/>
        <w:rPr>
          <w:rFonts w:hint="eastAsia"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适用于护理专业，健康服务与管理和养老服务专业学生，试用大学二年级或三年级。</w:t>
      </w:r>
    </w:p>
    <w:p>
      <w:pPr>
        <w:widowControl/>
        <w:spacing w:before="156" w:beforeLines="50" w:after="156" w:afterLines="50" w:line="288" w:lineRule="auto"/>
        <w:ind w:firstLine="360" w:firstLineChars="150"/>
        <w:jc w:val="left"/>
        <w:rPr>
          <w:rFonts w:hint="eastAsia"/>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96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2"/>
          </w:tcPr>
          <w:p>
            <w:pPr>
              <w:jc w:val="center"/>
              <w:rPr>
                <w:rFonts w:hint="eastAsia" w:ascii="黑体" w:hAnsi="黑体" w:eastAsia="黑体" w:cs="黑体"/>
                <w:kern w:val="0"/>
                <w:sz w:val="20"/>
                <w:szCs w:val="20"/>
              </w:rPr>
            </w:pPr>
            <w:r>
              <w:rPr>
                <w:rFonts w:hint="eastAsia" w:ascii="黑体" w:hAnsi="黑体" w:eastAsia="黑体" w:cs="黑体"/>
                <w:kern w:val="0"/>
                <w:sz w:val="20"/>
                <w:szCs w:val="20"/>
              </w:rPr>
              <w:t>专业毕业要求</w:t>
            </w:r>
          </w:p>
        </w:tc>
        <w:tc>
          <w:tcPr>
            <w:tcW w:w="851"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LO1品德修养</w:t>
            </w:r>
          </w:p>
        </w:tc>
        <w:tc>
          <w:tcPr>
            <w:tcW w:w="4961" w:type="dxa"/>
          </w:tcPr>
          <w:p>
            <w:pP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爱党爱国，坚决拥护党的领导，热爱祖国的大好河山、悠久历史、灿烂文化，自觉维护民族利益和国家尊严。</w:t>
            </w:r>
          </w:p>
        </w:tc>
        <w:tc>
          <w:tcPr>
            <w:tcW w:w="851"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2遵纪守法，增强法律意识，培养法律思维，自觉遵守法律法规、校纪校规。</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奉献社会，富有爱心，懂得感恩，自觉传承和弘扬雷锋精神，具有服务社会的意愿和行动，积极参加志愿者服务。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诚信尽责，为人诚实，信守承诺，勤奋努力，精益求精，勇于担责。</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爱岗敬业，热爱</w:t>
            </w:r>
            <w:r>
              <w:rPr>
                <w:rFonts w:hint="eastAsia" w:cs="宋体" w:asciiTheme="minorEastAsia" w:hAnsiTheme="minorEastAsia" w:eastAsiaTheme="minorEastAsia"/>
                <w:color w:val="000000"/>
                <w:kern w:val="0"/>
                <w:sz w:val="20"/>
                <w:szCs w:val="20"/>
                <w:lang w:val="en-US" w:eastAsia="zh-CN"/>
              </w:rPr>
              <w:t>健康管理</w:t>
            </w:r>
            <w:r>
              <w:rPr>
                <w:rFonts w:hint="eastAsia" w:cs="宋体" w:asciiTheme="minorEastAsia" w:hAnsiTheme="minorEastAsia" w:eastAsiaTheme="minorEastAsia"/>
                <w:color w:val="000000"/>
                <w:kern w:val="0"/>
                <w:sz w:val="20"/>
                <w:szCs w:val="20"/>
              </w:rPr>
              <w:t>专业，勤学多练，锤炼技能。熟悉</w:t>
            </w:r>
            <w:r>
              <w:rPr>
                <w:rFonts w:hint="eastAsia" w:cs="宋体" w:asciiTheme="minorEastAsia" w:hAnsiTheme="minorEastAsia" w:eastAsiaTheme="minorEastAsia"/>
                <w:color w:val="000000"/>
                <w:kern w:val="0"/>
                <w:sz w:val="20"/>
                <w:szCs w:val="20"/>
                <w:lang w:val="en-US" w:eastAsia="zh-CN"/>
              </w:rPr>
              <w:t>健康</w:t>
            </w:r>
            <w:r>
              <w:rPr>
                <w:rFonts w:hint="eastAsia" w:cs="宋体" w:asciiTheme="minorEastAsia" w:hAnsiTheme="minorEastAsia" w:eastAsiaTheme="minorEastAsia"/>
                <w:color w:val="000000"/>
                <w:kern w:val="0"/>
                <w:sz w:val="20"/>
                <w:szCs w:val="20"/>
              </w:rPr>
              <w:t>相关的法律法规，在实习实践中自觉遵守职业规范，具备职业道德操守。</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LO2专业能力</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具有专业所需的人文科学素养。</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健康检测：掌握健康检测的基本内容及方法。</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健康评估：能全面评估服务对象的健康状态，具有健康监测、健康风险评估能力。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健康咨询：掌握健康保健专业知识，为服务对象提供健康咨询服务。能确定服务对象的健康需求，并采用合适的健康教育方法。</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健康促进：掌握慢性病管理相关知识，协助医生开展慢性病病人社区健康管理，包括健康干预方案的跟踪随访。</w:t>
            </w:r>
          </w:p>
        </w:tc>
        <w:tc>
          <w:tcPr>
            <w:tcW w:w="851" w:type="dxa"/>
            <w:vAlign w:val="center"/>
          </w:tcPr>
          <w:p>
            <w:pPr>
              <w:widowControl/>
              <w:jc w:val="center"/>
              <w:rPr>
                <w:rFonts w:ascii="仿宋" w:hAnsi="仿宋" w:eastAsia="仿宋" w:cs="宋体"/>
                <w:color w:val="000000"/>
                <w:kern w:val="0"/>
                <w:sz w:val="24"/>
                <w:szCs w:val="20"/>
              </w:rPr>
            </w:pPr>
            <w:r>
              <w:rPr>
                <w:rFonts w:hint="eastAsia" w:ascii="Yu Gothic UI Semibold" w:hAnsi="Yu Gothic UI Semibold" w:eastAsia="Yu Gothic UI Semibold" w:cs="Yu Gothic UI Semibold"/>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rPr>
              <w:t>LO2</w:t>
            </w:r>
            <w:r>
              <w:rPr>
                <w:rFonts w:hint="eastAsia" w:cs="宋体" w:asciiTheme="minorEastAsia" w:hAnsiTheme="minorEastAsia" w:eastAsiaTheme="minorEastAsia"/>
                <w:color w:val="000000"/>
                <w:kern w:val="0"/>
                <w:sz w:val="20"/>
                <w:szCs w:val="20"/>
                <w:lang w:val="en-US" w:eastAsia="zh-CN"/>
              </w:rPr>
              <w:t>6 健康管理：掌握对个人或人群的健康风险因素进行全面管理的能力，开展健康管理服务。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8" w:type="dxa"/>
            <w:vMerge w:val="restart"/>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LO3表达沟通</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倾听他人意见、尊重他人观点、分析他人需求。</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应用书面或口头形式，阐释自己的观点，有效沟通。</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LO4自主学习</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能根据需要确定学习目标，并设计学习计划。</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能搜集、获取达到目标所需要的学习资源，实施学习计划、反思学习计划、持续改进，达到学习目标。</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LO5健康发展</w:t>
            </w: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身体健康，具有良好的卫生习惯，积极参加体育活动。</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心理健康，学习和参与心理调适各项活动，耐挫折，能承受学习和生活中的压力。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懂得审美，有发现美、感受美、鉴赏美、评价美、创造美的能力。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热爱劳动，具有正确的劳动观念和态度，热爱劳动和劳动人民，养成劳动习惯。</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持续发展，具有爱护环境的意识，与自然和谐相处的环保理念与行动；具备终生学习的意识和能力。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LO6协同创新</w:t>
            </w: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在集体活动中能主动担任自己的角色，与其他成员密切合作，善于自我管理和团队管理，共同完成任务。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668" w:type="dxa"/>
            <w:vMerge w:val="continue"/>
            <w:vAlign w:val="center"/>
          </w:tcPr>
          <w:p>
            <w:pPr>
              <w:widowControl/>
              <w:jc w:val="center"/>
              <w:rPr>
                <w:rFonts w:hint="eastAsia" w:cs="宋体" w:asciiTheme="minorEastAsia" w:hAnsiTheme="minorEastAsia" w:eastAsiaTheme="minorEastAsia"/>
                <w:color w:val="000000"/>
                <w:kern w:val="0"/>
                <w:sz w:val="20"/>
                <w:szCs w:val="20"/>
              </w:rPr>
            </w:pPr>
          </w:p>
        </w:tc>
        <w:tc>
          <w:tcPr>
            <w:tcW w:w="4961" w:type="dxa"/>
            <w:vAlign w:val="center"/>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有质疑精神，能有逻辑的分析与批判。</w:t>
            </w:r>
          </w:p>
        </w:tc>
        <w:tc>
          <w:tcPr>
            <w:tcW w:w="851" w:type="dxa"/>
            <w:vAlign w:val="center"/>
          </w:tcPr>
          <w:p>
            <w:pPr>
              <w:widowControl/>
              <w:jc w:val="center"/>
              <w:rPr>
                <w:rFonts w:ascii="仿宋" w:hAnsi="仿宋" w:eastAsia="仿宋" w:cs="宋体"/>
                <w:color w:val="000000"/>
                <w:kern w:val="0"/>
                <w:sz w:val="24"/>
                <w:szCs w:val="20"/>
              </w:rPr>
            </w:pPr>
            <w:r>
              <w:rPr>
                <w:rFonts w:hint="eastAsia" w:ascii="Yu Gothic UI Semibold" w:hAnsi="Yu Gothic UI Semibold" w:eastAsia="Yu Gothic UI Semibold" w:cs="Yu Gothic UI Semibold"/>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能用创新的方法或者多种方法解决复杂问题或真实问题。</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了解行业前沿知识技术。</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LO7信息应用</w:t>
            </w: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1</w:t>
            </w:r>
            <w:r>
              <w:rPr>
                <w:bCs/>
              </w:rPr>
              <w:t>能够根据需要进行专业文献检索。</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2</w:t>
            </w:r>
            <w:r>
              <w:rPr>
                <w:bCs/>
              </w:rPr>
              <w:t>能够使用适合的工具来搜集信息，并对信息加以分析、鉴别、判断与整合。</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vAlign w:val="center"/>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熟</w:t>
            </w:r>
            <w:r>
              <w:rPr>
                <w:bCs/>
              </w:rPr>
              <w:t>练使用计算机，掌握常用办公软件。</w:t>
            </w:r>
          </w:p>
        </w:tc>
        <w:tc>
          <w:tcPr>
            <w:tcW w:w="851" w:type="dxa"/>
            <w:vAlign w:val="center"/>
          </w:tcPr>
          <w:p>
            <w:pPr>
              <w:widowControl/>
              <w:jc w:val="center"/>
              <w:rPr>
                <w:rFonts w:ascii="仿宋" w:hAnsi="仿宋" w:eastAsia="仿宋" w:cs="宋体"/>
                <w:color w:val="000000"/>
                <w:kern w:val="0"/>
                <w:sz w:val="24"/>
                <w:szCs w:val="20"/>
              </w:rPr>
            </w:pPr>
            <w:r>
              <w:rPr>
                <w:rFonts w:hint="eastAsia" w:ascii="Yu Gothic UI Semibold" w:hAnsi="Yu Gothic UI Semibold" w:eastAsia="Yu Gothic UI Semibold" w:cs="Yu Gothic UI Semibold"/>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LO8国际视野</w:t>
            </w: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1</w:t>
            </w:r>
            <w:r>
              <w:rPr>
                <w:bCs/>
              </w:rPr>
              <w:t>具备外语表达沟通能力，达到本专业的要求。</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理解其他国家历史文化，有跨文化交流能力。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有国际竞争与合作意识。</w:t>
            </w:r>
          </w:p>
        </w:tc>
        <w:tc>
          <w:tcPr>
            <w:tcW w:w="851" w:type="dxa"/>
            <w:vAlign w:val="center"/>
          </w:tcPr>
          <w:p>
            <w:pPr>
              <w:widowControl/>
              <w:jc w:val="center"/>
              <w:rPr>
                <w:rFonts w:ascii="仿宋" w:hAnsi="仿宋" w:eastAsia="仿宋" w:cs="宋体"/>
                <w:color w:val="000000"/>
                <w:kern w:val="0"/>
                <w:sz w:val="24"/>
                <w:szCs w:val="20"/>
              </w:rPr>
            </w:pPr>
          </w:p>
        </w:tc>
      </w:tr>
    </w:tbl>
    <w:p>
      <w:pPr>
        <w:ind w:firstLine="210" w:firstLineChars="1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p>
      <w:pPr>
        <w:spacing w:line="360" w:lineRule="auto"/>
        <w:ind w:firstLine="500" w:firstLineChars="250"/>
        <w:rPr>
          <w:sz w:val="20"/>
          <w:szCs w:val="20"/>
          <w:highlight w:val="yellow"/>
        </w:rPr>
      </w:pP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jc w:val="center"/>
              <w:rPr>
                <w:rFonts w:ascii="仿宋" w:hAnsi="仿宋" w:eastAsia="仿宋" w:cs="宋体"/>
                <w:color w:val="000000"/>
                <w:kern w:val="0"/>
                <w:sz w:val="24"/>
                <w:szCs w:val="24"/>
              </w:rPr>
            </w:pPr>
          </w:p>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vMerge w:val="restart"/>
            <w:shd w:val="clear" w:color="auto" w:fill="auto"/>
            <w:vAlign w:val="center"/>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szCs w:val="24"/>
              </w:rPr>
              <w:t>LO2</w:t>
            </w:r>
            <w:r>
              <w:rPr>
                <w:rFonts w:hint="eastAsia" w:ascii="仿宋" w:hAnsi="仿宋" w:eastAsia="仿宋" w:cs="宋体"/>
                <w:color w:val="000000"/>
                <w:kern w:val="0"/>
                <w:sz w:val="24"/>
                <w:szCs w:val="24"/>
                <w:lang w:val="en-US" w:eastAsia="zh-CN"/>
              </w:rPr>
              <w:t>5</w:t>
            </w:r>
          </w:p>
        </w:tc>
        <w:tc>
          <w:tcPr>
            <w:tcW w:w="2470" w:type="dxa"/>
            <w:shd w:val="clear" w:color="auto" w:fill="auto"/>
          </w:tcPr>
          <w:p>
            <w:pPr>
              <w:rPr>
                <w:rFonts w:ascii="仿宋" w:hAnsi="仿宋" w:eastAsia="仿宋" w:cs="宋体"/>
                <w:color w:val="000000"/>
                <w:kern w:val="0"/>
                <w:sz w:val="24"/>
              </w:rPr>
            </w:pPr>
            <w:r>
              <w:rPr>
                <w:rFonts w:ascii="仿宋" w:hAnsi="仿宋" w:eastAsia="仿宋" w:cs="宋体"/>
                <w:color w:val="000000"/>
                <w:kern w:val="0"/>
                <w:sz w:val="24"/>
              </w:rPr>
              <w:t>1</w:t>
            </w:r>
            <w:r>
              <w:rPr>
                <w:rFonts w:hint="eastAsia" w:ascii="仿宋" w:hAnsi="仿宋" w:eastAsia="仿宋" w:cs="宋体"/>
                <w:color w:val="000000"/>
                <w:kern w:val="0"/>
                <w:sz w:val="24"/>
              </w:rPr>
              <w:t>．了解基本的统计学概念。</w:t>
            </w:r>
          </w:p>
        </w:tc>
        <w:tc>
          <w:tcPr>
            <w:tcW w:w="2199" w:type="dxa"/>
            <w:shd w:val="clear" w:color="auto" w:fill="auto"/>
          </w:tcPr>
          <w:p>
            <w:pPr>
              <w:snapToGrid w:val="0"/>
              <w:spacing w:line="288" w:lineRule="auto"/>
              <w:jc w:val="center"/>
              <w:rPr>
                <w:rFonts w:hint="eastAsia" w:ascii="仿宋" w:hAnsi="仿宋" w:eastAsia="仿宋" w:cs="宋体"/>
                <w:color w:val="000000"/>
                <w:kern w:val="0"/>
                <w:sz w:val="24"/>
              </w:rPr>
            </w:pPr>
            <w:r>
              <w:rPr>
                <w:rFonts w:hint="eastAsia" w:ascii="仿宋" w:hAnsi="仿宋" w:eastAsia="仿宋" w:cs="宋体"/>
                <w:color w:val="000000"/>
                <w:kern w:val="0"/>
                <w:sz w:val="24"/>
              </w:rPr>
              <w:t>P</w:t>
            </w:r>
            <w:r>
              <w:rPr>
                <w:rFonts w:ascii="仿宋" w:hAnsi="仿宋" w:eastAsia="仿宋" w:cs="宋体"/>
                <w:color w:val="000000"/>
                <w:kern w:val="0"/>
                <w:sz w:val="24"/>
              </w:rPr>
              <w:t>BL</w:t>
            </w:r>
            <w:r>
              <w:rPr>
                <w:rFonts w:hint="eastAsia" w:ascii="仿宋" w:hAnsi="仿宋" w:eastAsia="仿宋" w:cs="宋体"/>
                <w:color w:val="000000"/>
                <w:kern w:val="0"/>
                <w:sz w:val="24"/>
              </w:rPr>
              <w:t>教学法</w:t>
            </w:r>
          </w:p>
        </w:tc>
        <w:tc>
          <w:tcPr>
            <w:tcW w:w="1276" w:type="dxa"/>
            <w:shd w:val="clear" w:color="auto" w:fill="auto"/>
          </w:tcPr>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作业</w:t>
            </w:r>
          </w:p>
          <w:p>
            <w:pPr>
              <w:snapToGrid w:val="0"/>
              <w:spacing w:line="288" w:lineRule="auto"/>
              <w:jc w:val="center"/>
              <w:rPr>
                <w:rFonts w:hint="eastAsia" w:ascii="仿宋" w:hAnsi="仿宋" w:eastAsia="仿宋" w:cs="宋体"/>
                <w:color w:val="000000"/>
                <w:kern w:val="0"/>
                <w:sz w:val="24"/>
              </w:rPr>
            </w:pPr>
            <w:r>
              <w:rPr>
                <w:rFonts w:hint="eastAsia" w:ascii="仿宋" w:hAnsi="仿宋" w:eastAsia="仿宋" w:cs="宋体"/>
                <w:color w:val="000000"/>
                <w:kern w:val="0"/>
                <w:sz w:val="24"/>
              </w:rPr>
              <w:t>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hint="eastAsia" w:ascii="仿宋" w:hAnsi="仿宋" w:eastAsia="仿宋" w:cs="宋体"/>
                <w:color w:val="000000"/>
                <w:kern w:val="0"/>
                <w:sz w:val="24"/>
                <w:szCs w:val="24"/>
              </w:rPr>
            </w:pPr>
          </w:p>
        </w:tc>
        <w:tc>
          <w:tcPr>
            <w:tcW w:w="1175" w:type="dxa"/>
            <w:vMerge w:val="continue"/>
            <w:shd w:val="clear" w:color="auto" w:fill="auto"/>
            <w:vAlign w:val="center"/>
          </w:tcPr>
          <w:p>
            <w:pPr>
              <w:rPr>
                <w:rFonts w:hint="eastAsia" w:ascii="仿宋" w:hAnsi="仿宋" w:eastAsia="仿宋" w:cs="宋体"/>
                <w:color w:val="000000"/>
                <w:kern w:val="0"/>
                <w:sz w:val="24"/>
                <w:szCs w:val="24"/>
              </w:rPr>
            </w:pPr>
          </w:p>
        </w:tc>
        <w:tc>
          <w:tcPr>
            <w:tcW w:w="2470" w:type="dxa"/>
            <w:shd w:val="clear" w:color="auto" w:fill="auto"/>
          </w:tcPr>
          <w:p>
            <w:pPr>
              <w:rPr>
                <w:rFonts w:ascii="仿宋" w:hAnsi="仿宋" w:eastAsia="仿宋" w:cs="宋体"/>
                <w:color w:val="000000"/>
                <w:kern w:val="0"/>
                <w:sz w:val="24"/>
              </w:rPr>
            </w:pPr>
            <w:r>
              <w:rPr>
                <w:rFonts w:ascii="仿宋" w:hAnsi="仿宋" w:eastAsia="仿宋" w:cs="宋体"/>
                <w:color w:val="000000"/>
                <w:kern w:val="0"/>
                <w:sz w:val="24"/>
              </w:rPr>
              <w:t>2.</w:t>
            </w:r>
            <w:r>
              <w:rPr>
                <w:rFonts w:hint="eastAsia" w:ascii="仿宋" w:hAnsi="仿宋" w:eastAsia="仿宋" w:cs="宋体"/>
                <w:color w:val="000000"/>
                <w:kern w:val="0"/>
                <w:sz w:val="24"/>
              </w:rPr>
              <w:t>会使用基本的统计学方法。</w:t>
            </w:r>
          </w:p>
        </w:tc>
        <w:tc>
          <w:tcPr>
            <w:tcW w:w="2199" w:type="dxa"/>
            <w:shd w:val="clear" w:color="auto" w:fill="auto"/>
          </w:tcPr>
          <w:p>
            <w:pPr>
              <w:snapToGrid w:val="0"/>
              <w:spacing w:line="288" w:lineRule="auto"/>
              <w:jc w:val="center"/>
              <w:rPr>
                <w:rFonts w:ascii="仿宋" w:hAnsi="仿宋" w:eastAsia="仿宋" w:cs="宋体"/>
                <w:color w:val="000000"/>
                <w:kern w:val="0"/>
                <w:sz w:val="24"/>
              </w:rPr>
            </w:pPr>
            <w:r>
              <w:rPr>
                <w:rFonts w:ascii="仿宋" w:hAnsi="仿宋" w:eastAsia="仿宋" w:cs="宋体"/>
                <w:color w:val="000000"/>
                <w:kern w:val="0"/>
                <w:sz w:val="24"/>
              </w:rPr>
              <w:t>PBL</w:t>
            </w:r>
            <w:r>
              <w:rPr>
                <w:rFonts w:hint="eastAsia" w:ascii="仿宋" w:hAnsi="仿宋" w:eastAsia="仿宋" w:cs="宋体"/>
                <w:color w:val="000000"/>
                <w:kern w:val="0"/>
                <w:sz w:val="24"/>
              </w:rPr>
              <w:t>教学法</w:t>
            </w:r>
          </w:p>
          <w:p>
            <w:pPr>
              <w:snapToGrid w:val="0"/>
              <w:spacing w:line="288" w:lineRule="auto"/>
              <w:jc w:val="center"/>
              <w:rPr>
                <w:rFonts w:hint="eastAsia" w:ascii="仿宋" w:hAnsi="仿宋" w:eastAsia="仿宋" w:cs="宋体"/>
                <w:color w:val="000000"/>
                <w:kern w:val="0"/>
                <w:sz w:val="24"/>
              </w:rPr>
            </w:pPr>
            <w:r>
              <w:rPr>
                <w:rFonts w:hint="eastAsia" w:ascii="仿宋" w:hAnsi="仿宋" w:eastAsia="仿宋" w:cs="宋体"/>
                <w:color w:val="000000"/>
                <w:kern w:val="0"/>
                <w:sz w:val="24"/>
              </w:rPr>
              <w:t>案例教学</w:t>
            </w:r>
          </w:p>
        </w:tc>
        <w:tc>
          <w:tcPr>
            <w:tcW w:w="1276" w:type="dxa"/>
            <w:shd w:val="clear" w:color="auto" w:fill="auto"/>
          </w:tcPr>
          <w:p>
            <w:pPr>
              <w:snapToGrid w:val="0"/>
              <w:spacing w:line="288" w:lineRule="auto"/>
              <w:ind w:firstLine="240" w:firstLineChars="100"/>
              <w:rPr>
                <w:rFonts w:hint="eastAsia" w:ascii="仿宋" w:hAnsi="仿宋" w:eastAsia="仿宋" w:cs="宋体"/>
                <w:color w:val="000000"/>
                <w:kern w:val="0"/>
                <w:sz w:val="24"/>
              </w:rPr>
            </w:pPr>
            <w:r>
              <w:rPr>
                <w:rFonts w:hint="eastAsia" w:ascii="仿宋" w:hAnsi="仿宋" w:eastAsia="仿宋" w:cs="宋体"/>
                <w:color w:val="000000"/>
                <w:kern w:val="0"/>
                <w:sz w:val="24"/>
              </w:rPr>
              <w:t>作业</w:t>
            </w:r>
          </w:p>
          <w:p>
            <w:pPr>
              <w:snapToGrid w:val="0"/>
              <w:spacing w:line="288" w:lineRule="auto"/>
              <w:jc w:val="center"/>
              <w:rPr>
                <w:rFonts w:hint="eastAsia" w:ascii="仿宋" w:hAnsi="仿宋" w:eastAsia="仿宋" w:cs="宋体"/>
                <w:color w:val="000000"/>
                <w:kern w:val="0"/>
                <w:sz w:val="24"/>
              </w:rPr>
            </w:pPr>
            <w:r>
              <w:rPr>
                <w:rFonts w:hint="eastAsia" w:ascii="仿宋" w:hAnsi="仿宋" w:eastAsia="仿宋" w:cs="宋体"/>
                <w:color w:val="000000"/>
                <w:kern w:val="0"/>
                <w:sz w:val="24"/>
              </w:rPr>
              <w:t>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szCs w:val="24"/>
              </w:rPr>
              <w:t>LO6</w:t>
            </w:r>
            <w:r>
              <w:rPr>
                <w:rFonts w:hint="eastAsia" w:ascii="仿宋" w:hAnsi="仿宋" w:eastAsia="仿宋" w:cs="宋体"/>
                <w:color w:val="000000"/>
                <w:kern w:val="0"/>
                <w:sz w:val="24"/>
                <w:szCs w:val="24"/>
                <w:lang w:val="en-US" w:eastAsia="zh-CN"/>
              </w:rPr>
              <w:t>2</w:t>
            </w:r>
          </w:p>
        </w:tc>
        <w:tc>
          <w:tcPr>
            <w:tcW w:w="2470" w:type="dxa"/>
            <w:shd w:val="clear" w:color="auto" w:fill="auto"/>
          </w:tcPr>
          <w:p>
            <w:pPr>
              <w:rPr>
                <w:rFonts w:hint="eastAsia" w:ascii="仿宋" w:hAnsi="仿宋" w:eastAsia="仿宋" w:cs="宋体"/>
                <w:color w:val="000000"/>
                <w:kern w:val="0"/>
                <w:sz w:val="24"/>
              </w:rPr>
            </w:pPr>
            <w:r>
              <w:rPr>
                <w:rFonts w:hint="eastAsia" w:ascii="仿宋" w:hAnsi="仿宋" w:eastAsia="仿宋" w:cs="宋体"/>
                <w:color w:val="000000"/>
                <w:kern w:val="0"/>
                <w:sz w:val="24"/>
                <w:szCs w:val="24"/>
              </w:rPr>
              <w:t>1．会运用简单的统计分析方法，处理临床的数据。</w:t>
            </w:r>
          </w:p>
        </w:tc>
        <w:tc>
          <w:tcPr>
            <w:tcW w:w="2199" w:type="dxa"/>
            <w:shd w:val="clear" w:color="auto" w:fill="auto"/>
          </w:tcPr>
          <w:p>
            <w:pPr>
              <w:snapToGrid w:val="0"/>
              <w:spacing w:line="288" w:lineRule="auto"/>
              <w:jc w:val="center"/>
              <w:rPr>
                <w:rFonts w:ascii="仿宋" w:hAnsi="仿宋" w:eastAsia="仿宋" w:cs="宋体"/>
                <w:color w:val="000000"/>
                <w:kern w:val="0"/>
                <w:sz w:val="24"/>
              </w:rPr>
            </w:pPr>
            <w:r>
              <w:rPr>
                <w:rFonts w:ascii="仿宋" w:hAnsi="仿宋" w:eastAsia="仿宋" w:cs="宋体"/>
                <w:color w:val="000000"/>
                <w:kern w:val="0"/>
                <w:sz w:val="24"/>
              </w:rPr>
              <w:t>PBL</w:t>
            </w:r>
            <w:r>
              <w:rPr>
                <w:rFonts w:hint="eastAsia" w:ascii="仿宋" w:hAnsi="仿宋" w:eastAsia="仿宋" w:cs="宋体"/>
                <w:color w:val="000000"/>
                <w:kern w:val="0"/>
                <w:sz w:val="24"/>
              </w:rPr>
              <w:t>教学法</w:t>
            </w:r>
          </w:p>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案例教学</w:t>
            </w:r>
          </w:p>
        </w:tc>
        <w:tc>
          <w:tcPr>
            <w:tcW w:w="1276" w:type="dxa"/>
            <w:shd w:val="clear" w:color="auto" w:fill="auto"/>
          </w:tcPr>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实训报告</w:t>
            </w:r>
          </w:p>
          <w:p>
            <w:pPr>
              <w:snapToGrid w:val="0"/>
              <w:spacing w:line="288" w:lineRule="auto"/>
              <w:jc w:val="center"/>
              <w:rPr>
                <w:rFonts w:hint="eastAsia" w:ascii="仿宋" w:hAnsi="仿宋" w:eastAsia="仿宋" w:cs="宋体"/>
                <w:color w:val="000000"/>
                <w:kern w:val="0"/>
                <w:sz w:val="24"/>
              </w:rPr>
            </w:pPr>
            <w:r>
              <w:rPr>
                <w:rFonts w:hint="eastAsia" w:ascii="仿宋" w:hAnsi="仿宋" w:eastAsia="仿宋" w:cs="宋体"/>
                <w:color w:val="000000"/>
                <w:kern w:val="0"/>
                <w:sz w:val="24"/>
              </w:rPr>
              <w:t>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szCs w:val="24"/>
              </w:rPr>
              <w:t>LO7</w:t>
            </w:r>
            <w:r>
              <w:rPr>
                <w:rFonts w:hint="eastAsia" w:ascii="仿宋" w:hAnsi="仿宋" w:eastAsia="仿宋" w:cs="宋体"/>
                <w:color w:val="000000"/>
                <w:kern w:val="0"/>
                <w:sz w:val="24"/>
                <w:szCs w:val="24"/>
                <w:lang w:val="en-US" w:eastAsia="zh-CN"/>
              </w:rPr>
              <w:t>3</w:t>
            </w:r>
          </w:p>
        </w:tc>
        <w:tc>
          <w:tcPr>
            <w:tcW w:w="2470" w:type="dxa"/>
            <w:shd w:val="clear" w:color="auto" w:fill="auto"/>
          </w:tcPr>
          <w:p>
            <w:pPr>
              <w:rPr>
                <w:rFonts w:hint="eastAsia" w:ascii="仿宋" w:hAnsi="仿宋" w:eastAsia="仿宋" w:cs="宋体"/>
                <w:color w:val="000000"/>
                <w:kern w:val="0"/>
                <w:sz w:val="24"/>
              </w:rPr>
            </w:pPr>
            <w:r>
              <w:rPr>
                <w:rFonts w:hint="eastAsia" w:ascii="仿宋" w:hAnsi="仿宋" w:eastAsia="仿宋" w:cs="宋体"/>
                <w:color w:val="000000"/>
                <w:kern w:val="0"/>
                <w:sz w:val="24"/>
                <w:szCs w:val="24"/>
              </w:rPr>
              <w:t>1.了解统计软件S</w:t>
            </w:r>
            <w:r>
              <w:rPr>
                <w:rFonts w:ascii="仿宋" w:hAnsi="仿宋" w:eastAsia="仿宋" w:cs="宋体"/>
                <w:color w:val="000000"/>
                <w:kern w:val="0"/>
                <w:sz w:val="24"/>
                <w:szCs w:val="24"/>
              </w:rPr>
              <w:t>PSS.</w:t>
            </w:r>
          </w:p>
        </w:tc>
        <w:tc>
          <w:tcPr>
            <w:tcW w:w="2199" w:type="dxa"/>
            <w:shd w:val="clear" w:color="auto" w:fill="auto"/>
          </w:tcPr>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案例教学法</w:t>
            </w:r>
          </w:p>
          <w:p>
            <w:pPr>
              <w:snapToGrid w:val="0"/>
              <w:spacing w:line="288" w:lineRule="auto"/>
              <w:jc w:val="center"/>
              <w:rPr>
                <w:rFonts w:hint="eastAsia" w:ascii="仿宋" w:hAnsi="仿宋" w:eastAsia="仿宋" w:cs="宋体"/>
                <w:color w:val="000000"/>
                <w:kern w:val="0"/>
                <w:sz w:val="24"/>
              </w:rPr>
            </w:pPr>
            <w:r>
              <w:rPr>
                <w:rFonts w:hint="eastAsia" w:ascii="仿宋" w:hAnsi="仿宋" w:eastAsia="仿宋" w:cs="宋体"/>
                <w:color w:val="000000"/>
                <w:kern w:val="0"/>
                <w:sz w:val="24"/>
              </w:rPr>
              <w:t>实践教学</w:t>
            </w:r>
          </w:p>
        </w:tc>
        <w:tc>
          <w:tcPr>
            <w:tcW w:w="1276" w:type="dxa"/>
            <w:shd w:val="clear" w:color="auto" w:fill="auto"/>
          </w:tcPr>
          <w:p>
            <w:pPr>
              <w:snapToGrid w:val="0"/>
              <w:spacing w:line="288" w:lineRule="auto"/>
              <w:rPr>
                <w:rFonts w:ascii="仿宋" w:hAnsi="仿宋" w:eastAsia="仿宋" w:cs="宋体"/>
                <w:color w:val="000000"/>
                <w:kern w:val="0"/>
                <w:sz w:val="24"/>
              </w:rPr>
            </w:pPr>
            <w:r>
              <w:rPr>
                <w:rFonts w:hint="eastAsia" w:ascii="仿宋" w:hAnsi="仿宋" w:eastAsia="仿宋" w:cs="宋体"/>
                <w:color w:val="000000"/>
                <w:kern w:val="0"/>
                <w:sz w:val="24"/>
              </w:rPr>
              <w:t>实训报告</w:t>
            </w:r>
          </w:p>
          <w:p>
            <w:pPr>
              <w:snapToGrid w:val="0"/>
              <w:spacing w:line="288" w:lineRule="auto"/>
              <w:rPr>
                <w:rFonts w:hint="eastAsia" w:ascii="仿宋" w:hAnsi="仿宋" w:eastAsia="仿宋" w:cs="宋体"/>
                <w:color w:val="000000"/>
                <w:kern w:val="0"/>
                <w:sz w:val="24"/>
              </w:rPr>
            </w:pPr>
            <w:r>
              <w:rPr>
                <w:rFonts w:hint="eastAsia" w:ascii="仿宋" w:hAnsi="仿宋" w:eastAsia="仿宋" w:cs="宋体"/>
                <w:color w:val="000000"/>
                <w:kern w:val="0"/>
                <w:sz w:val="24"/>
              </w:rPr>
              <w:t>测验</w:t>
            </w:r>
          </w:p>
        </w:tc>
      </w:tr>
    </w:tbl>
    <w:p>
      <w:pPr>
        <w:snapToGrid w:val="0"/>
        <w:spacing w:line="288" w:lineRule="auto"/>
        <w:rPr>
          <w:rFonts w:hint="eastAsia" w:ascii="黑体" w:hAnsi="宋体" w:eastAsia="黑体"/>
          <w:sz w:val="24"/>
        </w:rPr>
      </w:pPr>
    </w:p>
    <w:p>
      <w:pPr>
        <w:widowControl/>
        <w:spacing w:before="156" w:beforeLines="50" w:after="156" w:afterLines="50" w:line="288" w:lineRule="auto"/>
        <w:ind w:firstLine="360" w:firstLineChars="150"/>
        <w:jc w:val="left"/>
        <w:rPr>
          <w:rFonts w:hint="eastAsia"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5"/>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
        <w:gridCol w:w="438"/>
        <w:gridCol w:w="515"/>
        <w:gridCol w:w="2127"/>
        <w:gridCol w:w="1984"/>
        <w:gridCol w:w="1276"/>
        <w:gridCol w:w="1173"/>
        <w:gridCol w:w="709"/>
        <w:gridCol w:w="709"/>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1261" w:hRule="atLeast"/>
          <w:jc w:val="center"/>
        </w:trPr>
        <w:tc>
          <w:tcPr>
            <w:tcW w:w="438"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515"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127"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知识目标</w:t>
            </w:r>
          </w:p>
        </w:tc>
        <w:tc>
          <w:tcPr>
            <w:tcW w:w="198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能力目标</w:t>
            </w:r>
          </w:p>
        </w:tc>
        <w:tc>
          <w:tcPr>
            <w:tcW w:w="1276" w:type="dxa"/>
            <w:vAlign w:val="center"/>
          </w:tcPr>
          <w:p>
            <w:pPr>
              <w:snapToGrid w:val="0"/>
              <w:spacing w:line="288" w:lineRule="auto"/>
              <w:jc w:val="center"/>
              <w:rPr>
                <w:rFonts w:ascii="宋体" w:hAnsi="Times New Roman"/>
                <w:b/>
                <w:color w:val="000000"/>
                <w:sz w:val="20"/>
                <w:szCs w:val="20"/>
              </w:rPr>
            </w:pPr>
            <w:r>
              <w:rPr>
                <w:rFonts w:hint="eastAsia" w:ascii="宋体" w:hAnsi="Times New Roman"/>
                <w:b/>
                <w:color w:val="000000"/>
                <w:sz w:val="20"/>
                <w:szCs w:val="20"/>
              </w:rPr>
              <w:t>情感目标</w:t>
            </w:r>
          </w:p>
        </w:tc>
        <w:tc>
          <w:tcPr>
            <w:tcW w:w="1173" w:type="dxa"/>
          </w:tcPr>
          <w:p>
            <w:pPr>
              <w:snapToGrid w:val="0"/>
              <w:spacing w:line="288" w:lineRule="auto"/>
              <w:jc w:val="center"/>
              <w:rPr>
                <w:rFonts w:ascii="宋体" w:hAnsi="Times New Roman"/>
                <w:b/>
                <w:color w:val="000000"/>
                <w:sz w:val="20"/>
                <w:szCs w:val="20"/>
              </w:rPr>
            </w:pPr>
          </w:p>
          <w:p>
            <w:pPr>
              <w:snapToGrid w:val="0"/>
              <w:spacing w:line="288" w:lineRule="auto"/>
              <w:jc w:val="center"/>
              <w:rPr>
                <w:rFonts w:ascii="宋体" w:hAnsi="宋体"/>
                <w:b/>
                <w:color w:val="000000"/>
                <w:sz w:val="20"/>
                <w:szCs w:val="20"/>
              </w:rPr>
            </w:pPr>
            <w:r>
              <w:rPr>
                <w:rFonts w:hint="eastAsia" w:ascii="宋体" w:hAnsi="Times New Roman"/>
                <w:b/>
                <w:color w:val="000000"/>
                <w:sz w:val="20"/>
                <w:szCs w:val="20"/>
              </w:rPr>
              <w:t>教学重点与难点</w:t>
            </w:r>
          </w:p>
        </w:tc>
        <w:tc>
          <w:tcPr>
            <w:tcW w:w="709"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理论时数</w:t>
            </w:r>
          </w:p>
        </w:tc>
        <w:tc>
          <w:tcPr>
            <w:tcW w:w="709"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实践时数</w:t>
            </w:r>
          </w:p>
        </w:tc>
        <w:tc>
          <w:tcPr>
            <w:tcW w:w="527"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515" w:type="dxa"/>
            <w:vAlign w:val="center"/>
          </w:tcPr>
          <w:p>
            <w:pPr>
              <w:snapToGrid w:val="0"/>
              <w:spacing w:line="288" w:lineRule="auto"/>
              <w:jc w:val="center"/>
              <w:rPr>
                <w:rFonts w:ascii="宋体"/>
                <w:color w:val="000000"/>
                <w:sz w:val="20"/>
                <w:szCs w:val="20"/>
              </w:rPr>
            </w:pPr>
            <w:r>
              <w:rPr>
                <w:rFonts w:hint="eastAsia" w:ascii="宋体"/>
                <w:color w:val="000000"/>
                <w:sz w:val="20"/>
                <w:szCs w:val="20"/>
              </w:rPr>
              <w:t>绪论</w:t>
            </w:r>
          </w:p>
        </w:tc>
        <w:tc>
          <w:tcPr>
            <w:tcW w:w="2127" w:type="dxa"/>
          </w:tcPr>
          <w:p>
            <w:pPr>
              <w:rPr>
                <w:rFonts w:ascii="宋体" w:hAnsi="宋体"/>
                <w:color w:val="000000"/>
                <w:sz w:val="20"/>
                <w:szCs w:val="20"/>
              </w:rPr>
            </w:pPr>
            <w:r>
              <w:rPr>
                <w:rFonts w:hint="eastAsia" w:ascii="宋体" w:hAnsi="宋体"/>
                <w:color w:val="000000"/>
                <w:sz w:val="20"/>
                <w:szCs w:val="20"/>
              </w:rPr>
              <w:t>理解几个基本概念和统计资料的类型</w:t>
            </w:r>
          </w:p>
        </w:tc>
        <w:tc>
          <w:tcPr>
            <w:tcW w:w="1984" w:type="dxa"/>
          </w:tcPr>
          <w:p>
            <w:pPr>
              <w:rPr>
                <w:rFonts w:ascii="宋体" w:hAnsi="宋体"/>
                <w:color w:val="000000"/>
                <w:sz w:val="20"/>
                <w:szCs w:val="20"/>
              </w:rPr>
            </w:pPr>
            <w:r>
              <w:rPr>
                <w:rFonts w:hint="eastAsia" w:ascii="宋体" w:hAnsi="宋体"/>
                <w:color w:val="000000"/>
                <w:sz w:val="20"/>
                <w:szCs w:val="20"/>
              </w:rPr>
              <w:t>学会统计工作的步骤</w:t>
            </w:r>
          </w:p>
        </w:tc>
        <w:tc>
          <w:tcPr>
            <w:tcW w:w="127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树立坚持真理、实事求是、一丝不苟、敢说真话的科学态度和价值观</w:t>
            </w:r>
          </w:p>
        </w:tc>
        <w:tc>
          <w:tcPr>
            <w:tcW w:w="1173" w:type="dxa"/>
          </w:tcPr>
          <w:p>
            <w:pPr>
              <w:rPr>
                <w:rFonts w:ascii="宋体" w:hAnsi="宋体"/>
                <w:color w:val="000000"/>
                <w:sz w:val="20"/>
                <w:szCs w:val="20"/>
              </w:rPr>
            </w:pPr>
            <w:r>
              <w:rPr>
                <w:rFonts w:hint="eastAsia" w:ascii="宋体" w:hAnsi="宋体"/>
                <w:color w:val="000000"/>
                <w:sz w:val="20"/>
                <w:szCs w:val="20"/>
              </w:rPr>
              <w:t>重点：同质和变异、总体和样本、概率、参数与统计量、抽样误差、计量资料、计数资料、等级资料。</w:t>
            </w:r>
          </w:p>
          <w:p>
            <w:pPr>
              <w:rPr>
                <w:rFonts w:ascii="宋体" w:hAnsi="宋体"/>
                <w:color w:val="000000"/>
                <w:sz w:val="20"/>
                <w:szCs w:val="20"/>
              </w:rPr>
            </w:pPr>
            <w:r>
              <w:rPr>
                <w:rFonts w:hint="eastAsia" w:ascii="宋体" w:hAnsi="宋体"/>
                <w:color w:val="000000"/>
                <w:sz w:val="20"/>
                <w:szCs w:val="20"/>
              </w:rPr>
              <w:t>难点：总体和样本、概率、抽样误差、资料的分类</w:t>
            </w:r>
          </w:p>
        </w:tc>
        <w:tc>
          <w:tcPr>
            <w:tcW w:w="709" w:type="dxa"/>
          </w:tcPr>
          <w:p>
            <w:pPr>
              <w:rPr>
                <w:rFonts w:ascii="宋体" w:hAnsi="宋体"/>
                <w:color w:val="000000"/>
                <w:sz w:val="20"/>
                <w:szCs w:val="20"/>
              </w:rPr>
            </w:pPr>
            <w:r>
              <w:rPr>
                <w:rFonts w:hint="eastAsia" w:ascii="宋体" w:hAnsi="宋体"/>
                <w:color w:val="000000"/>
                <w:sz w:val="20"/>
                <w:szCs w:val="20"/>
              </w:rPr>
              <w:t>2</w:t>
            </w:r>
          </w:p>
        </w:tc>
        <w:tc>
          <w:tcPr>
            <w:tcW w:w="709" w:type="dxa"/>
          </w:tcPr>
          <w:p>
            <w:pPr>
              <w:rPr>
                <w:rFonts w:ascii="宋体" w:hAnsi="宋体"/>
                <w:color w:val="000000"/>
                <w:sz w:val="20"/>
                <w:szCs w:val="20"/>
              </w:rPr>
            </w:pPr>
            <w:r>
              <w:rPr>
                <w:rFonts w:hint="eastAsia" w:ascii="宋体" w:hAnsi="宋体"/>
                <w:color w:val="000000"/>
                <w:sz w:val="20"/>
                <w:szCs w:val="20"/>
              </w:rPr>
              <w:t>0</w:t>
            </w:r>
          </w:p>
        </w:tc>
        <w:tc>
          <w:tcPr>
            <w:tcW w:w="527"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515" w:type="dxa"/>
            <w:vAlign w:val="center"/>
          </w:tcPr>
          <w:p>
            <w:pPr>
              <w:rPr>
                <w:rFonts w:ascii="宋体" w:hAnsi="宋体"/>
                <w:color w:val="000000"/>
                <w:sz w:val="20"/>
                <w:szCs w:val="20"/>
              </w:rPr>
            </w:pPr>
            <w:r>
              <w:rPr>
                <w:rFonts w:hint="eastAsia" w:ascii="宋体" w:hAnsi="宋体"/>
                <w:color w:val="000000"/>
                <w:sz w:val="20"/>
                <w:szCs w:val="20"/>
              </w:rPr>
              <w:t>定量数据的统计分析</w:t>
            </w:r>
          </w:p>
        </w:tc>
        <w:tc>
          <w:tcPr>
            <w:tcW w:w="2127" w:type="dxa"/>
          </w:tcPr>
          <w:p>
            <w:pPr>
              <w:rPr>
                <w:rFonts w:ascii="宋体" w:hAnsi="宋体"/>
                <w:color w:val="000000"/>
                <w:sz w:val="20"/>
                <w:szCs w:val="20"/>
              </w:rPr>
            </w:pPr>
            <w:r>
              <w:rPr>
                <w:rFonts w:hint="eastAsia" w:ascii="宋体" w:hAnsi="宋体"/>
                <w:color w:val="000000"/>
                <w:sz w:val="20"/>
                <w:szCs w:val="20"/>
              </w:rPr>
              <w:t>能够描述计量资料的常用统计指标，说出算术均数、几何均数、中位数、四分位数间距、标准差和变异系数的应用条件。</w:t>
            </w:r>
          </w:p>
        </w:tc>
        <w:tc>
          <w:tcPr>
            <w:tcW w:w="1984" w:type="dxa"/>
          </w:tcPr>
          <w:p>
            <w:pPr>
              <w:rPr>
                <w:rFonts w:ascii="宋体" w:hAnsi="宋体"/>
                <w:color w:val="000000"/>
                <w:sz w:val="20"/>
                <w:szCs w:val="20"/>
              </w:rPr>
            </w:pPr>
            <w:r>
              <w:rPr>
                <w:rFonts w:hint="eastAsia" w:ascii="宋体" w:hAnsi="宋体"/>
                <w:color w:val="000000"/>
                <w:sz w:val="20"/>
                <w:szCs w:val="20"/>
              </w:rPr>
              <w:t>能够完成计量资料、计数资料频数表的编制、绘制计量资料的频数分布图。</w:t>
            </w:r>
          </w:p>
        </w:tc>
        <w:tc>
          <w:tcPr>
            <w:tcW w:w="1276" w:type="dxa"/>
          </w:tcPr>
          <w:p>
            <w:pPr>
              <w:rPr>
                <w:rFonts w:ascii="宋体" w:hAnsi="宋体"/>
                <w:color w:val="000000"/>
                <w:sz w:val="20"/>
                <w:szCs w:val="20"/>
              </w:rPr>
            </w:pPr>
            <w:r>
              <w:rPr>
                <w:rFonts w:hint="eastAsia" w:ascii="宋体" w:hAnsi="宋体"/>
                <w:color w:val="000000"/>
                <w:sz w:val="20"/>
                <w:szCs w:val="20"/>
              </w:rPr>
              <w:t>形成用数据说话、不轻信数据、不伪造数据的职业道德观</w:t>
            </w:r>
          </w:p>
        </w:tc>
        <w:tc>
          <w:tcPr>
            <w:tcW w:w="1173" w:type="dxa"/>
          </w:tcPr>
          <w:p>
            <w:pPr>
              <w:rPr>
                <w:rFonts w:ascii="宋体" w:hAnsi="宋体"/>
                <w:color w:val="000000"/>
                <w:sz w:val="20"/>
                <w:szCs w:val="20"/>
              </w:rPr>
            </w:pPr>
            <w:r>
              <w:rPr>
                <w:rFonts w:hint="eastAsia" w:ascii="宋体" w:hAnsi="宋体"/>
                <w:color w:val="000000"/>
                <w:sz w:val="20"/>
                <w:szCs w:val="20"/>
              </w:rPr>
              <w:t>重点：算术均数、几何均数、中位数、百分位数，极差、四分位数间距、方差与标准差、变异系数，难点：百分位数，四分位数间距</w:t>
            </w:r>
            <w:r>
              <w:rPr>
                <w:rFonts w:ascii="宋体" w:hAnsi="宋体"/>
                <w:color w:val="000000"/>
                <w:sz w:val="20"/>
                <w:szCs w:val="20"/>
              </w:rPr>
              <w:t xml:space="preserve"> </w:t>
            </w:r>
          </w:p>
        </w:tc>
        <w:tc>
          <w:tcPr>
            <w:tcW w:w="709" w:type="dxa"/>
          </w:tcPr>
          <w:p>
            <w:pPr>
              <w:rPr>
                <w:rFonts w:ascii="宋体" w:hAnsi="宋体"/>
                <w:color w:val="000000"/>
                <w:sz w:val="20"/>
                <w:szCs w:val="20"/>
              </w:rPr>
            </w:pPr>
            <w:r>
              <w:rPr>
                <w:rFonts w:hint="eastAsia" w:ascii="宋体" w:hAnsi="宋体"/>
                <w:color w:val="000000"/>
                <w:sz w:val="20"/>
                <w:szCs w:val="20"/>
              </w:rPr>
              <w:t>2</w:t>
            </w:r>
          </w:p>
        </w:tc>
        <w:tc>
          <w:tcPr>
            <w:tcW w:w="709" w:type="dxa"/>
          </w:tcPr>
          <w:p>
            <w:r>
              <w:rPr>
                <w:rFonts w:hint="eastAsia"/>
              </w:rPr>
              <w:t>0</w:t>
            </w:r>
          </w:p>
        </w:tc>
        <w:tc>
          <w:tcPr>
            <w:tcW w:w="527"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515" w:type="dxa"/>
            <w:vAlign w:val="center"/>
          </w:tcPr>
          <w:p>
            <w:pPr>
              <w:pStyle w:val="4"/>
              <w:spacing w:before="0" w:beforeAutospacing="0" w:after="0" w:afterAutospacing="0"/>
              <w:jc w:val="both"/>
              <w:rPr>
                <w:kern w:val="2"/>
                <w:sz w:val="20"/>
                <w:szCs w:val="20"/>
              </w:rPr>
            </w:pPr>
            <w:r>
              <w:rPr>
                <w:rFonts w:hint="eastAsia"/>
                <w:kern w:val="2"/>
                <w:sz w:val="20"/>
                <w:szCs w:val="20"/>
              </w:rPr>
              <w:t>正态分布与偏态分布</w:t>
            </w:r>
          </w:p>
        </w:tc>
        <w:tc>
          <w:tcPr>
            <w:tcW w:w="2127" w:type="dxa"/>
          </w:tcPr>
          <w:p>
            <w:pPr>
              <w:rPr>
                <w:rFonts w:ascii="宋体" w:hAnsi="宋体"/>
                <w:color w:val="000000"/>
                <w:sz w:val="20"/>
                <w:szCs w:val="20"/>
              </w:rPr>
            </w:pPr>
            <w:r>
              <w:rPr>
                <w:rFonts w:hint="eastAsia" w:ascii="宋体" w:hAnsi="宋体"/>
                <w:color w:val="000000"/>
                <w:sz w:val="20"/>
                <w:szCs w:val="20"/>
              </w:rPr>
              <w:t>1</w:t>
            </w:r>
            <w:r>
              <w:rPr>
                <w:rFonts w:ascii="宋体" w:hAnsi="宋体"/>
                <w:color w:val="000000"/>
                <w:sz w:val="20"/>
                <w:szCs w:val="20"/>
              </w:rPr>
              <w:t>.</w:t>
            </w:r>
            <w:r>
              <w:rPr>
                <w:rFonts w:hint="eastAsia" w:ascii="宋体" w:hAnsi="宋体"/>
                <w:color w:val="000000"/>
                <w:sz w:val="20"/>
                <w:szCs w:val="20"/>
              </w:rPr>
              <w:t>阐述正态分布的特征及应用。</w:t>
            </w:r>
          </w:p>
          <w:p>
            <w:pPr>
              <w:rPr>
                <w:rFonts w:ascii="宋体" w:hAnsi="宋体"/>
                <w:color w:val="000000"/>
                <w:sz w:val="20"/>
                <w:szCs w:val="20"/>
              </w:rPr>
            </w:pPr>
            <w:r>
              <w:rPr>
                <w:rFonts w:ascii="宋体" w:hAnsi="宋体"/>
                <w:color w:val="000000"/>
                <w:sz w:val="20"/>
                <w:szCs w:val="20"/>
              </w:rPr>
              <w:t>2</w:t>
            </w:r>
            <w:r>
              <w:rPr>
                <w:rFonts w:hint="eastAsia" w:ascii="宋体" w:hAnsi="宋体"/>
                <w:color w:val="000000"/>
                <w:sz w:val="20"/>
                <w:szCs w:val="20"/>
              </w:rPr>
              <w:t>．说出正态分布的数学特征。</w:t>
            </w:r>
          </w:p>
          <w:p>
            <w:pPr>
              <w:rPr>
                <w:rFonts w:ascii="宋体" w:hAnsi="宋体"/>
                <w:color w:val="000000"/>
                <w:sz w:val="20"/>
                <w:szCs w:val="20"/>
              </w:rPr>
            </w:pPr>
            <w:r>
              <w:rPr>
                <w:rFonts w:hint="eastAsia" w:ascii="宋体" w:hAnsi="宋体"/>
                <w:color w:val="000000"/>
                <w:sz w:val="20"/>
                <w:szCs w:val="20"/>
              </w:rPr>
              <w:t>3</w:t>
            </w:r>
            <w:r>
              <w:rPr>
                <w:rFonts w:ascii="宋体" w:hAnsi="宋体"/>
                <w:color w:val="000000"/>
                <w:sz w:val="20"/>
                <w:szCs w:val="20"/>
              </w:rPr>
              <w:t>.</w:t>
            </w:r>
            <w:r>
              <w:rPr>
                <w:rFonts w:hint="eastAsia" w:ascii="宋体" w:hAnsi="宋体"/>
                <w:color w:val="000000"/>
                <w:sz w:val="20"/>
                <w:szCs w:val="20"/>
              </w:rPr>
              <w:t>能够使用正态分布理论，解释医学参考值范围。</w:t>
            </w:r>
          </w:p>
        </w:tc>
        <w:tc>
          <w:tcPr>
            <w:tcW w:w="1984" w:type="dxa"/>
          </w:tcPr>
          <w:p>
            <w:pPr>
              <w:rPr>
                <w:rFonts w:ascii="宋体" w:hAnsi="宋体"/>
                <w:color w:val="000000"/>
                <w:sz w:val="20"/>
                <w:szCs w:val="20"/>
              </w:rPr>
            </w:pPr>
            <w:r>
              <w:rPr>
                <w:rFonts w:hint="eastAsia" w:ascii="宋体" w:hAnsi="宋体"/>
                <w:color w:val="000000"/>
                <w:sz w:val="20"/>
                <w:szCs w:val="20"/>
              </w:rPr>
              <w:t>能够计算正态分布、偏态分布的95%参考值范围。</w:t>
            </w:r>
          </w:p>
        </w:tc>
        <w:tc>
          <w:tcPr>
            <w:tcW w:w="1276" w:type="dxa"/>
          </w:tcPr>
          <w:p>
            <w:pPr>
              <w:rPr>
                <w:rFonts w:ascii="宋体" w:hAnsi="Times New Roman"/>
                <w:b/>
                <w:color w:val="000000"/>
                <w:sz w:val="20"/>
                <w:szCs w:val="20"/>
              </w:rPr>
            </w:pPr>
            <w:r>
              <w:rPr>
                <w:rFonts w:hint="eastAsia" w:ascii="宋体" w:hAnsi="宋体"/>
                <w:sz w:val="20"/>
                <w:szCs w:val="20"/>
              </w:rPr>
              <w:t>坚持真理，善于理论联系实际，并用实践检验真理。正确理解和解读数据背后的真正意义。</w:t>
            </w:r>
          </w:p>
        </w:tc>
        <w:tc>
          <w:tcPr>
            <w:tcW w:w="1173" w:type="dxa"/>
          </w:tcPr>
          <w:p>
            <w:pPr>
              <w:rPr>
                <w:rFonts w:ascii="宋体" w:hAnsi="宋体"/>
                <w:color w:val="000000"/>
                <w:sz w:val="20"/>
                <w:szCs w:val="20"/>
              </w:rPr>
            </w:pPr>
          </w:p>
        </w:tc>
        <w:tc>
          <w:tcPr>
            <w:tcW w:w="709" w:type="dxa"/>
          </w:tcPr>
          <w:p>
            <w:pPr>
              <w:rPr>
                <w:rFonts w:ascii="宋体" w:hAnsi="宋体"/>
                <w:color w:val="000000"/>
                <w:sz w:val="20"/>
                <w:szCs w:val="20"/>
              </w:rPr>
            </w:pPr>
            <w:r>
              <w:rPr>
                <w:rFonts w:hint="eastAsia" w:ascii="宋体" w:hAnsi="宋体"/>
                <w:color w:val="000000"/>
                <w:sz w:val="20"/>
                <w:szCs w:val="20"/>
              </w:rPr>
              <w:t>2</w:t>
            </w:r>
          </w:p>
        </w:tc>
        <w:tc>
          <w:tcPr>
            <w:tcW w:w="709" w:type="dxa"/>
          </w:tcPr>
          <w:p>
            <w:pPr>
              <w:rPr>
                <w:rFonts w:ascii="宋体" w:hAnsi="宋体"/>
                <w:color w:val="000000"/>
                <w:sz w:val="20"/>
                <w:szCs w:val="20"/>
              </w:rPr>
            </w:pPr>
            <w:r>
              <w:rPr>
                <w:rFonts w:hint="eastAsia" w:ascii="宋体" w:hAnsi="宋体"/>
                <w:color w:val="000000"/>
                <w:sz w:val="20"/>
                <w:szCs w:val="20"/>
              </w:rPr>
              <w:t>0</w:t>
            </w:r>
          </w:p>
        </w:tc>
        <w:tc>
          <w:tcPr>
            <w:tcW w:w="527"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456" w:type="dxa"/>
            <w:gridSpan w:val="2"/>
            <w:vAlign w:val="center"/>
          </w:tcPr>
          <w:p>
            <w:pPr>
              <w:pStyle w:val="4"/>
              <w:spacing w:before="0" w:beforeAutospacing="0" w:after="0" w:afterAutospacing="0"/>
              <w:jc w:val="both"/>
              <w:rPr>
                <w:kern w:val="2"/>
                <w:sz w:val="20"/>
                <w:szCs w:val="20"/>
              </w:rPr>
            </w:pPr>
            <w:r>
              <w:rPr>
                <w:rFonts w:hint="eastAsia"/>
                <w:kern w:val="2"/>
                <w:sz w:val="20"/>
                <w:szCs w:val="20"/>
              </w:rPr>
              <w:t>4</w:t>
            </w:r>
          </w:p>
        </w:tc>
        <w:tc>
          <w:tcPr>
            <w:tcW w:w="515" w:type="dxa"/>
            <w:vAlign w:val="center"/>
          </w:tcPr>
          <w:p>
            <w:pPr>
              <w:pStyle w:val="4"/>
              <w:spacing w:before="0" w:beforeAutospacing="0" w:after="0" w:afterAutospacing="0"/>
              <w:jc w:val="both"/>
              <w:rPr>
                <w:kern w:val="2"/>
                <w:sz w:val="20"/>
                <w:szCs w:val="20"/>
              </w:rPr>
            </w:pPr>
            <w:r>
              <w:rPr>
                <w:rFonts w:hint="eastAsia"/>
                <w:kern w:val="2"/>
                <w:sz w:val="20"/>
                <w:szCs w:val="20"/>
              </w:rPr>
              <w:t>定性数据的统计描述</w:t>
            </w:r>
          </w:p>
        </w:tc>
        <w:tc>
          <w:tcPr>
            <w:tcW w:w="2127" w:type="dxa"/>
          </w:tcPr>
          <w:p>
            <w:pPr>
              <w:spacing w:line="280" w:lineRule="exact"/>
              <w:rPr>
                <w:rFonts w:ascii="宋体" w:hAnsi="宋体"/>
                <w:sz w:val="20"/>
                <w:szCs w:val="20"/>
              </w:rPr>
            </w:pPr>
            <w:r>
              <w:rPr>
                <w:rFonts w:hint="eastAsia" w:ascii="宋体" w:hAnsi="宋体"/>
                <w:sz w:val="20"/>
                <w:szCs w:val="20"/>
              </w:rPr>
              <w:t>1.知道率、构成比和相对比三种主要相对数类型、意义和计算，以及应用相对数时应注意的问题。</w:t>
            </w:r>
          </w:p>
          <w:p>
            <w:pPr>
              <w:spacing w:line="280" w:lineRule="exact"/>
              <w:rPr>
                <w:rFonts w:ascii="宋体" w:hAnsi="宋体"/>
                <w:sz w:val="20"/>
                <w:szCs w:val="20"/>
              </w:rPr>
            </w:pPr>
            <w:r>
              <w:rPr>
                <w:rFonts w:hint="eastAsia" w:ascii="宋体" w:hAnsi="宋体"/>
                <w:sz w:val="20"/>
                <w:szCs w:val="20"/>
              </w:rPr>
              <w:t>2.理解医学中常用的几种相对数指标，如死亡率、发病率、患病率、病死率、相对危险度和比数比。</w:t>
            </w:r>
          </w:p>
          <w:p>
            <w:pPr>
              <w:rPr>
                <w:rFonts w:ascii="宋体" w:hAnsi="宋体"/>
                <w:color w:val="000000"/>
                <w:sz w:val="20"/>
                <w:szCs w:val="20"/>
              </w:rPr>
            </w:pPr>
            <w:r>
              <w:rPr>
                <w:rFonts w:hint="eastAsia" w:ascii="宋体" w:hAnsi="宋体"/>
                <w:sz w:val="20"/>
                <w:szCs w:val="20"/>
              </w:rPr>
              <w:t>3.了解标准化率的概念和计算方法。</w:t>
            </w:r>
          </w:p>
        </w:tc>
        <w:tc>
          <w:tcPr>
            <w:tcW w:w="1984" w:type="dxa"/>
          </w:tcPr>
          <w:p>
            <w:pPr>
              <w:rPr>
                <w:rFonts w:ascii="宋体" w:hAnsi="宋体"/>
                <w:color w:val="000000"/>
                <w:sz w:val="20"/>
                <w:szCs w:val="20"/>
              </w:rPr>
            </w:pPr>
            <w:r>
              <w:rPr>
                <w:rFonts w:hint="eastAsia" w:ascii="宋体" w:hAnsi="宋体"/>
                <w:sz w:val="20"/>
                <w:szCs w:val="20"/>
              </w:rPr>
              <w:t>能够将率、构成比和相对比三种主要相对数计算类型应用于医学人口统计和疾病统计中。</w:t>
            </w:r>
          </w:p>
        </w:tc>
        <w:tc>
          <w:tcPr>
            <w:tcW w:w="1276" w:type="dxa"/>
          </w:tcPr>
          <w:p>
            <w:pPr>
              <w:rPr>
                <w:rFonts w:ascii="宋体" w:hAnsi="宋体"/>
                <w:color w:val="000000"/>
                <w:sz w:val="20"/>
                <w:szCs w:val="20"/>
              </w:rPr>
            </w:pPr>
            <w:r>
              <w:rPr>
                <w:rFonts w:hint="eastAsia" w:ascii="宋体" w:hAnsi="宋体"/>
                <w:sz w:val="20"/>
                <w:szCs w:val="20"/>
              </w:rPr>
              <w:t>坚持收集数据时，不伪造数据，尊重数据，用科学严谨的态度，避免采集时的错误；数据处理时采用合理处理手段，尊重事实，尊重科学。</w:t>
            </w:r>
          </w:p>
        </w:tc>
        <w:tc>
          <w:tcPr>
            <w:tcW w:w="1173" w:type="dxa"/>
          </w:tcPr>
          <w:p>
            <w:pPr>
              <w:spacing w:line="280" w:lineRule="exact"/>
              <w:ind w:right="-84" w:rightChars="-40"/>
              <w:jc w:val="left"/>
              <w:rPr>
                <w:rFonts w:ascii="宋体" w:hAnsi="宋体"/>
                <w:sz w:val="20"/>
                <w:szCs w:val="20"/>
              </w:rPr>
            </w:pPr>
            <w:r>
              <w:rPr>
                <w:rFonts w:hint="eastAsia" w:ascii="宋体" w:hAnsi="宋体"/>
                <w:sz w:val="20"/>
                <w:szCs w:val="20"/>
              </w:rPr>
              <w:t>率、构成比和相对比三种主要相对数类型、意义和计算，以及应用相对数时应注意的问题。</w:t>
            </w:r>
          </w:p>
          <w:p>
            <w:pPr>
              <w:rPr>
                <w:rFonts w:ascii="宋体" w:hAnsi="宋体"/>
                <w:color w:val="000000"/>
                <w:sz w:val="20"/>
                <w:szCs w:val="20"/>
              </w:rPr>
            </w:pPr>
          </w:p>
        </w:tc>
        <w:tc>
          <w:tcPr>
            <w:tcW w:w="709" w:type="dxa"/>
          </w:tcPr>
          <w:p>
            <w:pPr>
              <w:rPr>
                <w:rFonts w:ascii="宋体" w:hAnsi="宋体"/>
                <w:color w:val="000000"/>
                <w:sz w:val="20"/>
                <w:szCs w:val="20"/>
              </w:rPr>
            </w:pPr>
            <w:r>
              <w:rPr>
                <w:rFonts w:hint="eastAsia" w:ascii="宋体" w:hAnsi="宋体"/>
                <w:color w:val="000000"/>
                <w:sz w:val="20"/>
                <w:szCs w:val="20"/>
              </w:rPr>
              <w:t>2</w:t>
            </w:r>
          </w:p>
        </w:tc>
        <w:tc>
          <w:tcPr>
            <w:tcW w:w="709" w:type="dxa"/>
          </w:tcPr>
          <w:p>
            <w:pPr>
              <w:rPr>
                <w:rFonts w:ascii="宋体" w:hAnsi="宋体"/>
                <w:color w:val="000000"/>
                <w:sz w:val="20"/>
                <w:szCs w:val="20"/>
              </w:rPr>
            </w:pPr>
            <w:r>
              <w:rPr>
                <w:rFonts w:ascii="宋体" w:hAnsi="宋体"/>
                <w:color w:val="000000"/>
                <w:sz w:val="20"/>
                <w:szCs w:val="20"/>
              </w:rPr>
              <w:t>0</w:t>
            </w:r>
          </w:p>
        </w:tc>
        <w:tc>
          <w:tcPr>
            <w:tcW w:w="527"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pStyle w:val="4"/>
              <w:spacing w:before="0" w:beforeAutospacing="0" w:after="0" w:afterAutospacing="0"/>
              <w:jc w:val="both"/>
              <w:rPr>
                <w:kern w:val="2"/>
                <w:sz w:val="20"/>
                <w:szCs w:val="20"/>
              </w:rPr>
            </w:pPr>
            <w:r>
              <w:rPr>
                <w:rFonts w:hint="eastAsia"/>
                <w:kern w:val="2"/>
                <w:sz w:val="20"/>
                <w:szCs w:val="20"/>
              </w:rPr>
              <w:t>5</w:t>
            </w:r>
          </w:p>
        </w:tc>
        <w:tc>
          <w:tcPr>
            <w:tcW w:w="515" w:type="dxa"/>
            <w:vAlign w:val="center"/>
          </w:tcPr>
          <w:p>
            <w:pPr>
              <w:pStyle w:val="4"/>
              <w:spacing w:before="0" w:beforeAutospacing="0" w:after="0" w:afterAutospacing="0"/>
              <w:jc w:val="both"/>
              <w:rPr>
                <w:kern w:val="2"/>
                <w:sz w:val="20"/>
                <w:szCs w:val="20"/>
              </w:rPr>
            </w:pPr>
            <w:r>
              <w:rPr>
                <w:kern w:val="2"/>
                <w:sz w:val="20"/>
                <w:szCs w:val="20"/>
              </w:rPr>
              <w:t>统计表与统计图</w:t>
            </w:r>
          </w:p>
        </w:tc>
        <w:tc>
          <w:tcPr>
            <w:tcW w:w="2127" w:type="dxa"/>
          </w:tcPr>
          <w:p>
            <w:pPr>
              <w:pStyle w:val="4"/>
              <w:rPr>
                <w:kern w:val="2"/>
                <w:sz w:val="20"/>
                <w:szCs w:val="20"/>
              </w:rPr>
            </w:pPr>
            <w:r>
              <w:rPr>
                <w:rFonts w:hint="eastAsia"/>
                <w:kern w:val="2"/>
                <w:sz w:val="20"/>
                <w:szCs w:val="20"/>
              </w:rPr>
              <w:t>知道统计表与统计图的要求和结构，阐述常用统计图的意义和用途</w:t>
            </w:r>
          </w:p>
        </w:tc>
        <w:tc>
          <w:tcPr>
            <w:tcW w:w="1984" w:type="dxa"/>
          </w:tcPr>
          <w:p>
            <w:pPr>
              <w:pStyle w:val="4"/>
              <w:rPr>
                <w:kern w:val="2"/>
                <w:sz w:val="20"/>
                <w:szCs w:val="20"/>
              </w:rPr>
            </w:pPr>
            <w:r>
              <w:rPr>
                <w:rFonts w:hint="eastAsia"/>
                <w:kern w:val="2"/>
                <w:sz w:val="20"/>
                <w:szCs w:val="20"/>
              </w:rPr>
              <w:t>能根据实际选择统计图的</w:t>
            </w:r>
          </w:p>
        </w:tc>
        <w:tc>
          <w:tcPr>
            <w:tcW w:w="1276" w:type="dxa"/>
          </w:tcPr>
          <w:p>
            <w:pPr>
              <w:pStyle w:val="4"/>
              <w:rPr>
                <w:kern w:val="2"/>
                <w:sz w:val="20"/>
                <w:szCs w:val="20"/>
              </w:rPr>
            </w:pPr>
            <w:r>
              <w:rPr>
                <w:rFonts w:hint="eastAsia"/>
                <w:color w:val="auto"/>
                <w:kern w:val="2"/>
                <w:sz w:val="20"/>
                <w:szCs w:val="20"/>
              </w:rPr>
              <w:t>通过图表培养学生善于发现问题和表达问题的能力，在生活中善于利用知识发现问题的能力。</w:t>
            </w:r>
          </w:p>
        </w:tc>
        <w:tc>
          <w:tcPr>
            <w:tcW w:w="1173" w:type="dxa"/>
          </w:tcPr>
          <w:p>
            <w:pPr>
              <w:pStyle w:val="4"/>
              <w:rPr>
                <w:kern w:val="2"/>
                <w:sz w:val="20"/>
                <w:szCs w:val="20"/>
              </w:rPr>
            </w:pPr>
            <w:r>
              <w:rPr>
                <w:rFonts w:hint="eastAsia"/>
                <w:kern w:val="2"/>
                <w:sz w:val="20"/>
                <w:szCs w:val="20"/>
              </w:rPr>
              <w:t>重点：统计表与统计图的要求、常用统计图的意义和用途、选择统计图的基本原则。</w:t>
            </w:r>
          </w:p>
          <w:p>
            <w:pPr>
              <w:pStyle w:val="4"/>
              <w:rPr>
                <w:kern w:val="2"/>
                <w:sz w:val="20"/>
                <w:szCs w:val="20"/>
              </w:rPr>
            </w:pPr>
            <w:r>
              <w:rPr>
                <w:rFonts w:hint="eastAsia"/>
                <w:kern w:val="2"/>
                <w:sz w:val="20"/>
                <w:szCs w:val="20"/>
              </w:rPr>
              <w:t>难点：选择统计图的基本原则。</w:t>
            </w: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709" w:type="dxa"/>
          </w:tcPr>
          <w:p>
            <w:pPr>
              <w:pStyle w:val="4"/>
              <w:spacing w:before="0" w:beforeAutospacing="0" w:after="0" w:afterAutospacing="0"/>
              <w:jc w:val="both"/>
              <w:rPr>
                <w:kern w:val="2"/>
                <w:sz w:val="20"/>
                <w:szCs w:val="20"/>
              </w:rPr>
            </w:pPr>
            <w:r>
              <w:rPr>
                <w:rFonts w:hint="eastAsia"/>
                <w:kern w:val="2"/>
                <w:sz w:val="20"/>
                <w:szCs w:val="20"/>
              </w:rPr>
              <w:t>0</w:t>
            </w:r>
          </w:p>
        </w:tc>
        <w:tc>
          <w:tcPr>
            <w:tcW w:w="527"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6</w:t>
            </w:r>
          </w:p>
        </w:tc>
        <w:tc>
          <w:tcPr>
            <w:tcW w:w="515"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参数估计与假设检验</w:t>
            </w:r>
          </w:p>
        </w:tc>
        <w:tc>
          <w:tcPr>
            <w:tcW w:w="2127" w:type="dxa"/>
          </w:tcPr>
          <w:p>
            <w:pPr>
              <w:pStyle w:val="4"/>
              <w:rPr>
                <w:kern w:val="2"/>
                <w:sz w:val="20"/>
                <w:szCs w:val="20"/>
              </w:rPr>
            </w:pPr>
            <w:r>
              <w:rPr>
                <w:rFonts w:hint="eastAsia"/>
                <w:kern w:val="2"/>
                <w:sz w:val="20"/>
                <w:szCs w:val="20"/>
              </w:rPr>
              <w:t>能够阐述样本均数的抽样误差、均数标准误和可信区间的基本概念。阐述样本率的抽样误差。理解两样本均数之差的可信区间、两个样本率之差的可信区间。能够阐述假设检验的基本原理、P值、I类错误、II类错误、单侧检验、双侧检验的基本概念，阐述假设检验的基本步骤、注意事项以及结果解释的统计意义、专业意义。</w:t>
            </w:r>
          </w:p>
        </w:tc>
        <w:tc>
          <w:tcPr>
            <w:tcW w:w="1984" w:type="dxa"/>
          </w:tcPr>
          <w:p>
            <w:pPr>
              <w:pStyle w:val="4"/>
              <w:rPr>
                <w:kern w:val="2"/>
                <w:sz w:val="20"/>
                <w:szCs w:val="20"/>
              </w:rPr>
            </w:pPr>
            <w:r>
              <w:rPr>
                <w:rFonts w:hint="eastAsia"/>
                <w:kern w:val="2"/>
                <w:sz w:val="20"/>
                <w:szCs w:val="20"/>
              </w:rPr>
              <w:t>能计算均数的标准误、可信区间，计算率的标准误、可信区间，能计算大样本情况下两个均数、两个率的检验统计量。</w:t>
            </w:r>
          </w:p>
        </w:tc>
        <w:tc>
          <w:tcPr>
            <w:tcW w:w="1276" w:type="dxa"/>
          </w:tcPr>
          <w:p>
            <w:pPr>
              <w:pStyle w:val="4"/>
              <w:rPr>
                <w:kern w:val="2"/>
                <w:sz w:val="20"/>
                <w:szCs w:val="20"/>
              </w:rPr>
            </w:pPr>
            <w:r>
              <w:rPr>
                <w:rFonts w:hint="eastAsia"/>
                <w:color w:val="auto"/>
                <w:kern w:val="2"/>
                <w:sz w:val="20"/>
                <w:szCs w:val="20"/>
              </w:rPr>
              <w:t>形成以数据为基础的科学严谨的生活态度，在实际工作中不只看眼见，更是靠数据，通过学习激发学生的学习热情。要学会找典型，也要学会以点带面的灵活运用。激发学生探索科学的兴趣。</w:t>
            </w:r>
          </w:p>
        </w:tc>
        <w:tc>
          <w:tcPr>
            <w:tcW w:w="1173" w:type="dxa"/>
          </w:tcPr>
          <w:p>
            <w:pPr>
              <w:pStyle w:val="4"/>
              <w:rPr>
                <w:kern w:val="2"/>
                <w:sz w:val="20"/>
                <w:szCs w:val="20"/>
              </w:rPr>
            </w:pPr>
            <w:r>
              <w:rPr>
                <w:rFonts w:hint="eastAsia"/>
                <w:kern w:val="2"/>
                <w:sz w:val="20"/>
                <w:szCs w:val="20"/>
              </w:rPr>
              <w:t>重点：假设检验的基本原理，设检验的基本步骤与结果解释。</w:t>
            </w: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709" w:type="dxa"/>
          </w:tcPr>
          <w:p>
            <w:pPr>
              <w:pStyle w:val="4"/>
              <w:spacing w:before="0" w:beforeAutospacing="0" w:after="0" w:afterAutospacing="0"/>
              <w:jc w:val="both"/>
              <w:rPr>
                <w:kern w:val="2"/>
                <w:sz w:val="20"/>
                <w:szCs w:val="20"/>
              </w:rPr>
            </w:pPr>
            <w:r>
              <w:rPr>
                <w:rFonts w:hint="eastAsia"/>
                <w:kern w:val="2"/>
                <w:sz w:val="20"/>
                <w:szCs w:val="20"/>
              </w:rPr>
              <w:t>0</w:t>
            </w:r>
          </w:p>
        </w:tc>
        <w:tc>
          <w:tcPr>
            <w:tcW w:w="527" w:type="dxa"/>
          </w:tcPr>
          <w:p>
            <w:pPr>
              <w:pStyle w:val="4"/>
              <w:spacing w:before="0" w:beforeAutospacing="0" w:after="0" w:afterAutospacing="0"/>
              <w:jc w:val="both"/>
              <w:rPr>
                <w:kern w:val="2"/>
                <w:sz w:val="20"/>
                <w:szCs w:val="20"/>
              </w:rPr>
            </w:pPr>
            <w:r>
              <w:rPr>
                <w:rFonts w:hint="eastAsia"/>
                <w:kern w:val="2"/>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7</w:t>
            </w:r>
          </w:p>
        </w:tc>
        <w:tc>
          <w:tcPr>
            <w:tcW w:w="515"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t　　检验</w:t>
            </w:r>
          </w:p>
        </w:tc>
        <w:tc>
          <w:tcPr>
            <w:tcW w:w="2127" w:type="dxa"/>
          </w:tcPr>
          <w:p>
            <w:pPr>
              <w:pStyle w:val="4"/>
              <w:rPr>
                <w:kern w:val="2"/>
                <w:sz w:val="20"/>
                <w:szCs w:val="20"/>
              </w:rPr>
            </w:pPr>
            <w:r>
              <w:rPr>
                <w:rFonts w:hint="eastAsia"/>
                <w:kern w:val="2"/>
                <w:sz w:val="20"/>
                <w:szCs w:val="20"/>
              </w:rPr>
              <w:t>能够阐述配对样本均数t检验、两独立样本均数t检验的基本原理，说出配对样本均数t检验、两独立样本均数t检验的基本步骤、检验统计量和应用条件。</w:t>
            </w:r>
          </w:p>
        </w:tc>
        <w:tc>
          <w:tcPr>
            <w:tcW w:w="1984" w:type="dxa"/>
          </w:tcPr>
          <w:p>
            <w:pPr>
              <w:pStyle w:val="4"/>
              <w:rPr>
                <w:kern w:val="2"/>
                <w:sz w:val="20"/>
                <w:szCs w:val="20"/>
              </w:rPr>
            </w:pPr>
            <w:r>
              <w:rPr>
                <w:rFonts w:hint="eastAsia"/>
                <w:kern w:val="2"/>
                <w:sz w:val="20"/>
                <w:szCs w:val="20"/>
              </w:rPr>
              <w:t>能够计算配对样本均数t检验、两独立样本均数t检验的检验统计量，运用t界值表获得P值。</w:t>
            </w:r>
          </w:p>
        </w:tc>
        <w:tc>
          <w:tcPr>
            <w:tcW w:w="1276" w:type="dxa"/>
          </w:tcPr>
          <w:p>
            <w:pPr>
              <w:pStyle w:val="4"/>
              <w:spacing w:before="0" w:beforeAutospacing="0" w:after="0" w:afterAutospacing="0"/>
              <w:jc w:val="both"/>
              <w:rPr>
                <w:kern w:val="2"/>
                <w:sz w:val="20"/>
                <w:szCs w:val="20"/>
              </w:rPr>
            </w:pPr>
            <w:r>
              <w:rPr>
                <w:rFonts w:hint="eastAsia"/>
                <w:color w:val="auto"/>
                <w:kern w:val="2"/>
                <w:sz w:val="20"/>
                <w:szCs w:val="20"/>
              </w:rPr>
              <w:t>激发学生对探索科学内涵和规律的求知欲，探索科学的热情。</w:t>
            </w:r>
          </w:p>
        </w:tc>
        <w:tc>
          <w:tcPr>
            <w:tcW w:w="1173" w:type="dxa"/>
          </w:tcPr>
          <w:p>
            <w:pPr>
              <w:pStyle w:val="4"/>
              <w:rPr>
                <w:kern w:val="2"/>
                <w:sz w:val="20"/>
                <w:szCs w:val="20"/>
              </w:rPr>
            </w:pPr>
            <w:r>
              <w:rPr>
                <w:rFonts w:hint="eastAsia"/>
                <w:kern w:val="2"/>
                <w:sz w:val="20"/>
                <w:szCs w:val="20"/>
              </w:rPr>
              <w:t>重点：配对样本均数的t检验，两独立样本均数的t检验。</w:t>
            </w:r>
          </w:p>
          <w:p>
            <w:pPr>
              <w:pStyle w:val="4"/>
              <w:rPr>
                <w:kern w:val="2"/>
                <w:sz w:val="20"/>
                <w:szCs w:val="20"/>
              </w:rPr>
            </w:pPr>
            <w:r>
              <w:rPr>
                <w:rFonts w:hint="eastAsia"/>
                <w:kern w:val="2"/>
                <w:sz w:val="20"/>
                <w:szCs w:val="20"/>
              </w:rPr>
              <w:t>难点：t分布的特征；t检验的计算与应用</w:t>
            </w: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527" w:type="dxa"/>
          </w:tcPr>
          <w:p>
            <w:pPr>
              <w:pStyle w:val="4"/>
              <w:spacing w:before="0" w:beforeAutospacing="0" w:after="0" w:afterAutospacing="0"/>
              <w:jc w:val="both"/>
              <w:rPr>
                <w:kern w:val="2"/>
                <w:sz w:val="20"/>
                <w:szCs w:val="20"/>
              </w:rPr>
            </w:pPr>
            <w:r>
              <w:rPr>
                <w:rFonts w:hint="eastAsia"/>
                <w:kern w:val="2"/>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8</w:t>
            </w:r>
          </w:p>
        </w:tc>
        <w:tc>
          <w:tcPr>
            <w:tcW w:w="515"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方差分析</w:t>
            </w:r>
          </w:p>
        </w:tc>
        <w:tc>
          <w:tcPr>
            <w:tcW w:w="2127" w:type="dxa"/>
          </w:tcPr>
          <w:p>
            <w:pPr>
              <w:pStyle w:val="4"/>
              <w:rPr>
                <w:kern w:val="2"/>
                <w:sz w:val="20"/>
                <w:szCs w:val="20"/>
              </w:rPr>
            </w:pPr>
            <w:r>
              <w:rPr>
                <w:rFonts w:hint="eastAsia"/>
                <w:kern w:val="2"/>
                <w:sz w:val="20"/>
                <w:szCs w:val="20"/>
              </w:rPr>
              <w:t>能够说出方差分析的基本思想和应用条件，阐述完全随机设计资料方差分析、随机区组设计资料方差分析、多个均数间的两两比较的基本步骤和检验统计量（方差分析表）。</w:t>
            </w:r>
          </w:p>
        </w:tc>
        <w:tc>
          <w:tcPr>
            <w:tcW w:w="1984" w:type="dxa"/>
          </w:tcPr>
          <w:p>
            <w:pPr>
              <w:pStyle w:val="4"/>
              <w:rPr>
                <w:kern w:val="2"/>
                <w:sz w:val="20"/>
                <w:szCs w:val="20"/>
              </w:rPr>
            </w:pPr>
            <w:r>
              <w:rPr>
                <w:rFonts w:hint="eastAsia"/>
                <w:kern w:val="2"/>
                <w:sz w:val="20"/>
                <w:szCs w:val="20"/>
              </w:rPr>
              <w:t>能够计算完全随机设计资料方差分析、随机区组设计资料方差分析、多个均数间的两两比较的检验统计量，运用F界值表或q界值表获得P值。</w:t>
            </w:r>
          </w:p>
        </w:tc>
        <w:tc>
          <w:tcPr>
            <w:tcW w:w="1276" w:type="dxa"/>
          </w:tcPr>
          <w:p>
            <w:pPr>
              <w:pStyle w:val="4"/>
              <w:spacing w:before="0" w:beforeAutospacing="0" w:after="0" w:afterAutospacing="0"/>
              <w:jc w:val="both"/>
              <w:rPr>
                <w:kern w:val="2"/>
                <w:sz w:val="20"/>
                <w:szCs w:val="20"/>
              </w:rPr>
            </w:pPr>
            <w:r>
              <w:rPr>
                <w:rFonts w:hint="eastAsia"/>
                <w:color w:val="auto"/>
                <w:kern w:val="2"/>
                <w:sz w:val="20"/>
                <w:szCs w:val="20"/>
              </w:rPr>
              <w:t>激发学生探索真理的学习热情，树立实事求是的生活工作态度和价值观。</w:t>
            </w:r>
          </w:p>
        </w:tc>
        <w:tc>
          <w:tcPr>
            <w:tcW w:w="1173" w:type="dxa"/>
          </w:tcPr>
          <w:p>
            <w:pPr>
              <w:pStyle w:val="4"/>
              <w:rPr>
                <w:kern w:val="2"/>
                <w:sz w:val="20"/>
                <w:szCs w:val="20"/>
              </w:rPr>
            </w:pPr>
            <w:r>
              <w:rPr>
                <w:rFonts w:hint="eastAsia"/>
                <w:kern w:val="2"/>
                <w:sz w:val="20"/>
                <w:szCs w:val="20"/>
              </w:rPr>
              <w:t>重点：完全随机设计方差分析的基本思想。</w:t>
            </w:r>
          </w:p>
          <w:p>
            <w:pPr>
              <w:pStyle w:val="4"/>
              <w:rPr>
                <w:kern w:val="2"/>
                <w:sz w:val="20"/>
                <w:szCs w:val="20"/>
              </w:rPr>
            </w:pPr>
            <w:r>
              <w:rPr>
                <w:rFonts w:hint="eastAsia"/>
                <w:kern w:val="2"/>
                <w:sz w:val="20"/>
                <w:szCs w:val="20"/>
              </w:rPr>
              <w:t>难点：完全随机设计方差分析的基本思想。</w:t>
            </w: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527" w:type="dxa"/>
          </w:tcPr>
          <w:p>
            <w:pPr>
              <w:pStyle w:val="4"/>
              <w:spacing w:before="0" w:beforeAutospacing="0" w:after="0" w:afterAutospacing="0"/>
              <w:jc w:val="both"/>
              <w:rPr>
                <w:kern w:val="2"/>
                <w:sz w:val="20"/>
                <w:szCs w:val="20"/>
              </w:rPr>
            </w:pPr>
            <w:r>
              <w:rPr>
                <w:rFonts w:hint="eastAsia"/>
                <w:kern w:val="2"/>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9</w:t>
            </w:r>
          </w:p>
        </w:tc>
        <w:tc>
          <w:tcPr>
            <w:tcW w:w="515"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χ</w:t>
            </w:r>
            <w:r>
              <w:rPr>
                <w:rFonts w:hint="eastAsia" w:ascii="宋体" w:hAnsi="宋体"/>
                <w:color w:val="000000"/>
                <w:sz w:val="20"/>
                <w:szCs w:val="20"/>
                <w:vertAlign w:val="superscript"/>
              </w:rPr>
              <w:t>2　</w:t>
            </w:r>
            <w:r>
              <w:rPr>
                <w:rFonts w:hint="eastAsia" w:ascii="宋体" w:hAnsi="宋体"/>
                <w:color w:val="000000"/>
                <w:sz w:val="20"/>
                <w:szCs w:val="20"/>
              </w:rPr>
              <w:t>检验</w:t>
            </w:r>
          </w:p>
        </w:tc>
        <w:tc>
          <w:tcPr>
            <w:tcW w:w="2127" w:type="dxa"/>
          </w:tcPr>
          <w:p>
            <w:pPr>
              <w:pStyle w:val="4"/>
              <w:rPr>
                <w:kern w:val="2"/>
                <w:sz w:val="20"/>
                <w:szCs w:val="20"/>
              </w:rPr>
            </w:pPr>
            <w:r>
              <w:rPr>
                <w:rFonts w:hint="eastAsia"/>
                <w:kern w:val="2"/>
                <w:sz w:val="20"/>
                <w:szCs w:val="20"/>
              </w:rPr>
              <w:t>能够阐述2×2表卡方检验的基本思想、应用条件、计算方法。使用连续性校正的公式计算卡方值。说出两相关样本率McNemar检验的基本思想、应用条件、计算方法。阐述R×C表卡方检验的基本思想、应用条件和计算方法。理解Fisher确切概率检验。</w:t>
            </w:r>
          </w:p>
        </w:tc>
        <w:tc>
          <w:tcPr>
            <w:tcW w:w="1984" w:type="dxa"/>
          </w:tcPr>
          <w:p>
            <w:pPr>
              <w:pStyle w:val="4"/>
              <w:rPr>
                <w:kern w:val="2"/>
                <w:sz w:val="20"/>
                <w:szCs w:val="20"/>
              </w:rPr>
            </w:pPr>
            <w:r>
              <w:rPr>
                <w:rFonts w:hint="eastAsia"/>
                <w:kern w:val="2"/>
                <w:sz w:val="20"/>
                <w:szCs w:val="20"/>
              </w:rPr>
              <w:t>运用卡方检验的基本思想进行四格表资料卡方检验及配对四格表资料的卡方检验</w:t>
            </w:r>
          </w:p>
        </w:tc>
        <w:tc>
          <w:tcPr>
            <w:tcW w:w="1276" w:type="dxa"/>
          </w:tcPr>
          <w:p>
            <w:pPr>
              <w:pStyle w:val="4"/>
              <w:rPr>
                <w:kern w:val="2"/>
                <w:sz w:val="20"/>
                <w:szCs w:val="20"/>
              </w:rPr>
            </w:pPr>
            <w:r>
              <w:rPr>
                <w:rFonts w:hint="eastAsia"/>
                <w:color w:val="auto"/>
                <w:kern w:val="2"/>
                <w:sz w:val="20"/>
                <w:szCs w:val="20"/>
              </w:rPr>
              <w:t>培养学生求真求实的严谨的工作态度。不清新数据，不伪造数据的职业道德观。</w:t>
            </w:r>
          </w:p>
        </w:tc>
        <w:tc>
          <w:tcPr>
            <w:tcW w:w="1173" w:type="dxa"/>
          </w:tcPr>
          <w:p>
            <w:pPr>
              <w:pStyle w:val="4"/>
              <w:rPr>
                <w:kern w:val="2"/>
                <w:sz w:val="20"/>
                <w:szCs w:val="20"/>
              </w:rPr>
            </w:pPr>
            <w:r>
              <w:rPr>
                <w:rFonts w:hint="eastAsia"/>
                <w:kern w:val="2"/>
                <w:sz w:val="20"/>
                <w:szCs w:val="20"/>
              </w:rPr>
              <w:t>重点：卡方检验的基本思想；四格表资料卡方检验的计算及注意事项；配对四格表资料的卡方检验。难点：卡方检验的基本思想；四格表资料卡方检验的应用。</w:t>
            </w: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527" w:type="dxa"/>
          </w:tcPr>
          <w:p>
            <w:pPr>
              <w:pStyle w:val="4"/>
              <w:spacing w:before="0" w:beforeAutospacing="0" w:after="0" w:afterAutospacing="0"/>
              <w:jc w:val="both"/>
              <w:rPr>
                <w:kern w:val="2"/>
                <w:sz w:val="20"/>
                <w:szCs w:val="20"/>
              </w:rPr>
            </w:pPr>
            <w:r>
              <w:rPr>
                <w:rFonts w:hint="eastAsia"/>
                <w:kern w:val="2"/>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10</w:t>
            </w:r>
          </w:p>
        </w:tc>
        <w:tc>
          <w:tcPr>
            <w:tcW w:w="515"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非参数秩和检验</w:t>
            </w:r>
          </w:p>
        </w:tc>
        <w:tc>
          <w:tcPr>
            <w:tcW w:w="2127" w:type="dxa"/>
          </w:tcPr>
          <w:p>
            <w:pPr>
              <w:pStyle w:val="4"/>
              <w:rPr>
                <w:kern w:val="2"/>
                <w:sz w:val="20"/>
                <w:szCs w:val="20"/>
              </w:rPr>
            </w:pPr>
            <w:r>
              <w:rPr>
                <w:rFonts w:hint="eastAsia"/>
                <w:kern w:val="2"/>
                <w:sz w:val="20"/>
                <w:szCs w:val="20"/>
              </w:rPr>
              <w:t>阐述非参数检验的概念、优缺点：配对设计资料的秩和检验（Wilcoxon配对法）：单样本资料的秩和检验：完全随机设计两样本资料的秩和检验：完全随机设计多个样本资料的秩和检验（H检验）：随机区组设计资料的秩和检验：多个样本之间的两两比较。</w:t>
            </w:r>
          </w:p>
        </w:tc>
        <w:tc>
          <w:tcPr>
            <w:tcW w:w="1984" w:type="dxa"/>
          </w:tcPr>
          <w:p>
            <w:pPr>
              <w:pStyle w:val="4"/>
              <w:rPr>
                <w:kern w:val="2"/>
                <w:sz w:val="20"/>
                <w:szCs w:val="20"/>
              </w:rPr>
            </w:pPr>
            <w:r>
              <w:rPr>
                <w:rFonts w:hint="eastAsia"/>
                <w:kern w:val="2"/>
                <w:sz w:val="20"/>
                <w:szCs w:val="20"/>
              </w:rPr>
              <w:t>能根据资料类型进行非参数的秩和检验</w:t>
            </w:r>
          </w:p>
        </w:tc>
        <w:tc>
          <w:tcPr>
            <w:tcW w:w="1276" w:type="dxa"/>
          </w:tcPr>
          <w:p>
            <w:pPr>
              <w:pStyle w:val="4"/>
              <w:rPr>
                <w:kern w:val="2"/>
                <w:sz w:val="20"/>
                <w:szCs w:val="20"/>
              </w:rPr>
            </w:pPr>
            <w:r>
              <w:rPr>
                <w:rFonts w:hint="eastAsia"/>
                <w:kern w:val="2"/>
                <w:sz w:val="20"/>
                <w:szCs w:val="20"/>
              </w:rPr>
              <w:t>树立坚持真理、实事求是、一丝不苟、敢说真话的科学态度和价值观</w:t>
            </w:r>
          </w:p>
        </w:tc>
        <w:tc>
          <w:tcPr>
            <w:tcW w:w="1173" w:type="dxa"/>
          </w:tcPr>
          <w:p>
            <w:pPr>
              <w:pStyle w:val="4"/>
              <w:rPr>
                <w:kern w:val="2"/>
                <w:sz w:val="20"/>
                <w:szCs w:val="20"/>
              </w:rPr>
            </w:pPr>
            <w:r>
              <w:rPr>
                <w:rFonts w:hint="eastAsia"/>
                <w:kern w:val="2"/>
                <w:sz w:val="20"/>
                <w:szCs w:val="20"/>
              </w:rPr>
              <w:t>重点：非参数检验的概念、优缺点</w:t>
            </w:r>
          </w:p>
          <w:p>
            <w:pPr>
              <w:pStyle w:val="4"/>
              <w:rPr>
                <w:kern w:val="2"/>
                <w:sz w:val="20"/>
                <w:szCs w:val="20"/>
              </w:rPr>
            </w:pPr>
            <w:r>
              <w:rPr>
                <w:rFonts w:hint="eastAsia"/>
                <w:kern w:val="2"/>
                <w:sz w:val="20"/>
                <w:szCs w:val="20"/>
              </w:rPr>
              <w:t>难点：</w:t>
            </w: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527" w:type="dxa"/>
          </w:tcPr>
          <w:p>
            <w:pPr>
              <w:pStyle w:val="4"/>
              <w:spacing w:before="0" w:beforeAutospacing="0" w:after="0" w:afterAutospacing="0"/>
              <w:jc w:val="both"/>
              <w:rPr>
                <w:kern w:val="2"/>
                <w:sz w:val="20"/>
                <w:szCs w:val="20"/>
              </w:rPr>
            </w:pPr>
            <w:r>
              <w:rPr>
                <w:rFonts w:hint="eastAsia"/>
                <w:kern w:val="2"/>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11</w:t>
            </w:r>
          </w:p>
        </w:tc>
        <w:tc>
          <w:tcPr>
            <w:tcW w:w="515"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线性回归与相关</w:t>
            </w:r>
          </w:p>
        </w:tc>
        <w:tc>
          <w:tcPr>
            <w:tcW w:w="2127" w:type="dxa"/>
          </w:tcPr>
          <w:p>
            <w:pPr>
              <w:pStyle w:val="4"/>
              <w:rPr>
                <w:kern w:val="2"/>
                <w:sz w:val="20"/>
                <w:szCs w:val="20"/>
              </w:rPr>
            </w:pPr>
            <w:r>
              <w:rPr>
                <w:rFonts w:hint="eastAsia"/>
                <w:kern w:val="2"/>
                <w:sz w:val="20"/>
                <w:szCs w:val="20"/>
              </w:rPr>
              <w:t>1</w:t>
            </w:r>
            <w:r>
              <w:rPr>
                <w:kern w:val="2"/>
                <w:sz w:val="20"/>
                <w:szCs w:val="20"/>
              </w:rPr>
              <w:t>.</w:t>
            </w:r>
            <w:r>
              <w:rPr>
                <w:rFonts w:hint="eastAsia"/>
                <w:kern w:val="2"/>
                <w:sz w:val="20"/>
                <w:szCs w:val="20"/>
              </w:rPr>
              <w:t>能够说出直线回归方程的基本原理，解释直线回归方程的截距和回归系数，阐述回归系数假设检验的基本步骤、检验统计量，归纳直线回归方程的主要用途和实际应用的注意事项。</w:t>
            </w:r>
          </w:p>
          <w:p>
            <w:pPr>
              <w:pStyle w:val="4"/>
              <w:rPr>
                <w:kern w:val="2"/>
                <w:sz w:val="20"/>
                <w:szCs w:val="20"/>
              </w:rPr>
            </w:pPr>
            <w:r>
              <w:rPr>
                <w:kern w:val="2"/>
                <w:sz w:val="20"/>
                <w:szCs w:val="20"/>
              </w:rPr>
              <w:t>2.</w:t>
            </w:r>
            <w:r>
              <w:rPr>
                <w:rFonts w:hint="eastAsia"/>
                <w:kern w:val="2"/>
                <w:sz w:val="20"/>
                <w:szCs w:val="20"/>
              </w:rPr>
              <w:t>能够阐述线性相关系数的基本概念、计算方法、假设检验的基本步骤、检验统计量，归纳相关系数应用的注意事项。</w:t>
            </w:r>
          </w:p>
        </w:tc>
        <w:tc>
          <w:tcPr>
            <w:tcW w:w="1984" w:type="dxa"/>
          </w:tcPr>
          <w:p>
            <w:pPr>
              <w:pStyle w:val="4"/>
              <w:rPr>
                <w:kern w:val="2"/>
                <w:sz w:val="20"/>
                <w:szCs w:val="20"/>
              </w:rPr>
            </w:pPr>
            <w:r>
              <w:rPr>
                <w:rFonts w:hint="eastAsia"/>
                <w:kern w:val="2"/>
                <w:sz w:val="20"/>
                <w:szCs w:val="20"/>
              </w:rPr>
              <w:t>1</w:t>
            </w:r>
            <w:r>
              <w:rPr>
                <w:kern w:val="2"/>
                <w:sz w:val="20"/>
                <w:szCs w:val="20"/>
              </w:rPr>
              <w:t>.</w:t>
            </w:r>
            <w:r>
              <w:rPr>
                <w:rFonts w:hint="eastAsia"/>
                <w:kern w:val="2"/>
                <w:sz w:val="20"/>
                <w:szCs w:val="20"/>
              </w:rPr>
              <w:t>能够计算直线回归方程的截距、回归系数、回归系数的标准误和回归系数假设检验的检验统计量。2</w:t>
            </w:r>
            <w:r>
              <w:rPr>
                <w:kern w:val="2"/>
                <w:sz w:val="20"/>
                <w:szCs w:val="20"/>
              </w:rPr>
              <w:t>.</w:t>
            </w:r>
            <w:r>
              <w:rPr>
                <w:rFonts w:hint="eastAsia"/>
                <w:kern w:val="2"/>
                <w:sz w:val="20"/>
                <w:szCs w:val="20"/>
              </w:rPr>
              <w:t>能够计算线性相关系数、线性相关系数、线性相关系数的标准误和检验统计量。</w:t>
            </w:r>
          </w:p>
        </w:tc>
        <w:tc>
          <w:tcPr>
            <w:tcW w:w="1276" w:type="dxa"/>
          </w:tcPr>
          <w:p>
            <w:pPr>
              <w:pStyle w:val="4"/>
              <w:rPr>
                <w:kern w:val="2"/>
                <w:sz w:val="20"/>
                <w:szCs w:val="20"/>
              </w:rPr>
            </w:pPr>
            <w:r>
              <w:rPr>
                <w:rFonts w:hint="eastAsia"/>
                <w:color w:val="auto"/>
                <w:kern w:val="2"/>
                <w:sz w:val="20"/>
                <w:szCs w:val="20"/>
              </w:rPr>
              <w:t>通过线性回归的学习培养学生多角度看待问题，不能忽视事物之间的普遍联系和因果关系，激发学生探讨真理的兴趣。</w:t>
            </w:r>
          </w:p>
        </w:tc>
        <w:tc>
          <w:tcPr>
            <w:tcW w:w="1173" w:type="dxa"/>
          </w:tcPr>
          <w:p>
            <w:pPr>
              <w:pStyle w:val="4"/>
              <w:rPr>
                <w:kern w:val="2"/>
                <w:sz w:val="20"/>
                <w:szCs w:val="20"/>
              </w:rPr>
            </w:pPr>
            <w:r>
              <w:rPr>
                <w:rFonts w:hint="eastAsia"/>
                <w:kern w:val="2"/>
                <w:sz w:val="20"/>
                <w:szCs w:val="20"/>
              </w:rPr>
              <w:t>重点：直线相关的概念、相关系数的意义、取值范围，直线回归的概念、直线回归方程的一般表达式、回归系数的意义，直线相关与回归的区别与联系。</w:t>
            </w:r>
          </w:p>
          <w:p>
            <w:pPr>
              <w:pStyle w:val="4"/>
              <w:rPr>
                <w:kern w:val="2"/>
                <w:sz w:val="20"/>
                <w:szCs w:val="20"/>
              </w:rPr>
            </w:pPr>
            <w:r>
              <w:rPr>
                <w:rFonts w:hint="eastAsia"/>
                <w:kern w:val="2"/>
                <w:sz w:val="20"/>
                <w:szCs w:val="20"/>
              </w:rPr>
              <w:t>难点：直线相关与回归的区别与联系</w:t>
            </w: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709" w:type="dxa"/>
          </w:tcPr>
          <w:p>
            <w:pPr>
              <w:pStyle w:val="4"/>
              <w:spacing w:before="0" w:beforeAutospacing="0" w:after="0" w:afterAutospacing="0"/>
              <w:jc w:val="both"/>
              <w:rPr>
                <w:kern w:val="2"/>
                <w:sz w:val="20"/>
                <w:szCs w:val="20"/>
              </w:rPr>
            </w:pPr>
            <w:r>
              <w:rPr>
                <w:rFonts w:hint="eastAsia"/>
                <w:kern w:val="2"/>
                <w:sz w:val="20"/>
                <w:szCs w:val="20"/>
              </w:rPr>
              <w:t>0</w:t>
            </w:r>
          </w:p>
        </w:tc>
        <w:tc>
          <w:tcPr>
            <w:tcW w:w="527" w:type="dxa"/>
          </w:tcPr>
          <w:p>
            <w:pPr>
              <w:pStyle w:val="4"/>
              <w:spacing w:before="0" w:beforeAutospacing="0" w:after="0" w:afterAutospacing="0"/>
              <w:jc w:val="both"/>
              <w:rPr>
                <w:kern w:val="2"/>
                <w:sz w:val="20"/>
                <w:szCs w:val="20"/>
              </w:rPr>
            </w:pPr>
            <w:r>
              <w:rPr>
                <w:rFonts w:hint="eastAsia"/>
                <w:kern w:val="2"/>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12</w:t>
            </w:r>
          </w:p>
        </w:tc>
        <w:tc>
          <w:tcPr>
            <w:tcW w:w="515" w:type="dxa"/>
            <w:vAlign w:val="center"/>
          </w:tcPr>
          <w:p>
            <w:pPr>
              <w:snapToGrid w:val="0"/>
              <w:spacing w:line="288" w:lineRule="auto"/>
              <w:jc w:val="both"/>
              <w:rPr>
                <w:rFonts w:ascii="宋体" w:hAnsi="宋体"/>
                <w:color w:val="000000"/>
                <w:sz w:val="20"/>
                <w:szCs w:val="20"/>
              </w:rPr>
            </w:pPr>
            <w:r>
              <w:rPr>
                <w:rFonts w:hint="eastAsia" w:ascii="宋体" w:hAnsi="宋体"/>
                <w:color w:val="000000"/>
                <w:sz w:val="20"/>
                <w:szCs w:val="20"/>
                <w:lang w:val="en-US" w:eastAsia="zh-CN"/>
              </w:rPr>
              <w:t>案例讨论</w:t>
            </w:r>
            <w:r>
              <w:rPr>
                <w:rFonts w:hint="eastAsia" w:ascii="宋体" w:hAnsi="宋体"/>
                <w:color w:val="000000"/>
                <w:sz w:val="20"/>
                <w:szCs w:val="20"/>
              </w:rPr>
              <w:t>　</w:t>
            </w:r>
          </w:p>
        </w:tc>
        <w:tc>
          <w:tcPr>
            <w:tcW w:w="2127" w:type="dxa"/>
            <w:vAlign w:val="top"/>
          </w:tcPr>
          <w:p>
            <w:pPr>
              <w:pStyle w:val="4"/>
              <w:rPr>
                <w:rFonts w:hint="default" w:eastAsia="宋体"/>
                <w:kern w:val="2"/>
                <w:sz w:val="20"/>
                <w:szCs w:val="20"/>
                <w:lang w:val="en-US" w:eastAsia="zh-CN"/>
              </w:rPr>
            </w:pPr>
            <w:r>
              <w:rPr>
                <w:rFonts w:hint="eastAsia"/>
                <w:kern w:val="2"/>
                <w:sz w:val="20"/>
                <w:szCs w:val="20"/>
                <w:lang w:val="en-US" w:eastAsia="zh-CN"/>
              </w:rPr>
              <w:t>案例分享</w:t>
            </w:r>
          </w:p>
        </w:tc>
        <w:tc>
          <w:tcPr>
            <w:tcW w:w="1984" w:type="dxa"/>
            <w:vAlign w:val="top"/>
          </w:tcPr>
          <w:p>
            <w:pPr>
              <w:pStyle w:val="4"/>
              <w:rPr>
                <w:rFonts w:hint="default" w:eastAsia="宋体"/>
                <w:kern w:val="2"/>
                <w:sz w:val="20"/>
                <w:szCs w:val="20"/>
                <w:lang w:val="en-US" w:eastAsia="zh-CN"/>
              </w:rPr>
            </w:pPr>
            <w:r>
              <w:rPr>
                <w:rFonts w:hint="eastAsia"/>
                <w:kern w:val="2"/>
                <w:sz w:val="20"/>
                <w:szCs w:val="20"/>
                <w:lang w:val="en-US" w:eastAsia="zh-CN"/>
              </w:rPr>
              <w:t>掌握简单数据处理技能</w:t>
            </w:r>
          </w:p>
        </w:tc>
        <w:tc>
          <w:tcPr>
            <w:tcW w:w="1276" w:type="dxa"/>
            <w:vAlign w:val="top"/>
          </w:tcPr>
          <w:p>
            <w:pPr>
              <w:pStyle w:val="4"/>
              <w:rPr>
                <w:kern w:val="2"/>
                <w:sz w:val="20"/>
                <w:szCs w:val="20"/>
              </w:rPr>
            </w:pPr>
            <w:r>
              <w:rPr>
                <w:rFonts w:hint="eastAsia"/>
                <w:kern w:val="2"/>
                <w:sz w:val="20"/>
                <w:szCs w:val="20"/>
                <w:lang w:val="en-US" w:eastAsia="zh-CN"/>
              </w:rPr>
              <w:t>检验学习效果。</w:t>
            </w:r>
          </w:p>
        </w:tc>
        <w:tc>
          <w:tcPr>
            <w:tcW w:w="1173" w:type="dxa"/>
            <w:vAlign w:val="top"/>
          </w:tcPr>
          <w:p>
            <w:pPr>
              <w:pStyle w:val="4"/>
              <w:rPr>
                <w:kern w:val="2"/>
                <w:sz w:val="20"/>
                <w:szCs w:val="20"/>
              </w:rPr>
            </w:pPr>
          </w:p>
        </w:tc>
        <w:tc>
          <w:tcPr>
            <w:tcW w:w="709" w:type="dxa"/>
            <w:vAlign w:val="top"/>
          </w:tcPr>
          <w:p>
            <w:pPr>
              <w:pStyle w:val="4"/>
              <w:spacing w:before="0" w:beforeAutospacing="0" w:after="0" w:afterAutospacing="0"/>
              <w:jc w:val="both"/>
              <w:rPr>
                <w:kern w:val="2"/>
                <w:sz w:val="20"/>
                <w:szCs w:val="20"/>
              </w:rPr>
            </w:pPr>
            <w:r>
              <w:rPr>
                <w:rFonts w:hint="eastAsia"/>
                <w:kern w:val="2"/>
                <w:sz w:val="20"/>
                <w:szCs w:val="20"/>
              </w:rPr>
              <w:t>2</w:t>
            </w:r>
          </w:p>
        </w:tc>
        <w:tc>
          <w:tcPr>
            <w:tcW w:w="709" w:type="dxa"/>
            <w:vAlign w:val="top"/>
          </w:tcPr>
          <w:p>
            <w:pPr>
              <w:pStyle w:val="4"/>
              <w:spacing w:before="0" w:beforeAutospacing="0" w:after="0" w:afterAutospacing="0"/>
              <w:jc w:val="both"/>
              <w:rPr>
                <w:kern w:val="2"/>
                <w:sz w:val="20"/>
                <w:szCs w:val="20"/>
              </w:rPr>
            </w:pPr>
            <w:r>
              <w:rPr>
                <w:rFonts w:hint="eastAsia"/>
                <w:kern w:val="2"/>
                <w:sz w:val="20"/>
                <w:szCs w:val="20"/>
              </w:rPr>
              <w:t>0</w:t>
            </w:r>
          </w:p>
        </w:tc>
        <w:tc>
          <w:tcPr>
            <w:tcW w:w="527" w:type="dxa"/>
            <w:vAlign w:val="top"/>
          </w:tcPr>
          <w:p>
            <w:pPr>
              <w:pStyle w:val="4"/>
              <w:spacing w:before="0" w:beforeAutospacing="0" w:after="0" w:afterAutospacing="0"/>
              <w:jc w:val="both"/>
              <w:rPr>
                <w:kern w:val="2"/>
                <w:sz w:val="20"/>
                <w:szCs w:val="20"/>
              </w:rPr>
            </w:pPr>
            <w:r>
              <w:rPr>
                <w:rFonts w:hint="eastAsia"/>
                <w:kern w:val="2"/>
                <w:sz w:val="20"/>
                <w:szCs w:val="20"/>
              </w:rPr>
              <w:t>2</w:t>
            </w:r>
          </w:p>
        </w:tc>
      </w:tr>
    </w:tbl>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2802"/>
        <w:gridCol w:w="992"/>
        <w:gridCol w:w="1403"/>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403"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ascii="宋体" w:hAnsi="宋体"/>
                <w:color w:val="000000"/>
                <w:sz w:val="20"/>
                <w:szCs w:val="20"/>
              </w:rPr>
              <w:t>1</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ascii="宋体"/>
                <w:sz w:val="16"/>
                <w:szCs w:val="16"/>
              </w:rPr>
            </w:pPr>
            <w:r>
              <w:rPr>
                <w:rFonts w:ascii="宋体" w:hAnsi="宋体"/>
                <w:color w:val="000000"/>
                <w:sz w:val="20"/>
                <w:szCs w:val="20"/>
              </w:rPr>
              <w:t>t</w:t>
            </w:r>
            <w:r>
              <w:rPr>
                <w:rFonts w:hint="eastAsia" w:ascii="宋体" w:hAnsi="宋体"/>
                <w:color w:val="000000"/>
                <w:sz w:val="20"/>
                <w:szCs w:val="20"/>
              </w:rPr>
              <w:t>检验</w:t>
            </w:r>
          </w:p>
        </w:tc>
        <w:tc>
          <w:tcPr>
            <w:tcW w:w="2802"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ascii="宋体"/>
                <w:sz w:val="16"/>
                <w:szCs w:val="16"/>
              </w:rPr>
            </w:pPr>
            <w:r>
              <w:rPr>
                <w:rFonts w:ascii="宋体" w:hAnsi="宋体"/>
                <w:color w:val="000000"/>
                <w:sz w:val="20"/>
                <w:szCs w:val="20"/>
              </w:rPr>
              <w:t>t</w:t>
            </w:r>
            <w:r>
              <w:rPr>
                <w:rFonts w:hint="eastAsia" w:ascii="宋体" w:hAnsi="宋体"/>
                <w:color w:val="000000"/>
                <w:sz w:val="20"/>
                <w:szCs w:val="20"/>
              </w:rPr>
              <w:t>检验</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2</w:t>
            </w:r>
          </w:p>
        </w:tc>
        <w:tc>
          <w:tcPr>
            <w:tcW w:w="1403"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综合型实验</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计算机房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2</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方差分析</w:t>
            </w:r>
          </w:p>
        </w:tc>
        <w:tc>
          <w:tcPr>
            <w:tcW w:w="2802"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方差分析</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2</w:t>
            </w:r>
          </w:p>
        </w:tc>
        <w:tc>
          <w:tcPr>
            <w:tcW w:w="1403"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综合型实验</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计算机房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x2检验</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x2检验</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2</w:t>
            </w:r>
          </w:p>
        </w:tc>
        <w:tc>
          <w:tcPr>
            <w:tcW w:w="1403"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综合型实验</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计算机房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4</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非参数秩和检验</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非参数秩和检验</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2</w:t>
            </w:r>
          </w:p>
        </w:tc>
        <w:tc>
          <w:tcPr>
            <w:tcW w:w="1403"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综合型实验</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计算机房</w:t>
            </w:r>
          </w:p>
        </w:tc>
      </w:tr>
    </w:tbl>
    <w:p>
      <w:pPr>
        <w:snapToGrid w:val="0"/>
        <w:spacing w:line="288" w:lineRule="auto"/>
        <w:ind w:right="2520" w:firstLine="480" w:firstLineChars="200"/>
        <w:rPr>
          <w:rFonts w:hint="eastAsia" w:ascii="黑体" w:hAnsi="宋体" w:eastAsia="黑体"/>
          <w:sz w:val="24"/>
        </w:rPr>
      </w:pPr>
    </w:p>
    <w:p>
      <w:pPr>
        <w:snapToGrid w:val="0"/>
        <w:spacing w:line="288" w:lineRule="auto"/>
        <w:ind w:right="2520" w:firstLine="480" w:firstLineChars="200"/>
        <w:rPr>
          <w:rFonts w:hint="eastAsia" w:ascii="黑体" w:hAnsi="宋体" w:eastAsia="黑体"/>
          <w:sz w:val="24"/>
        </w:rPr>
      </w:pPr>
    </w:p>
    <w:p>
      <w:pPr>
        <w:snapToGrid w:val="0"/>
        <w:spacing w:line="288" w:lineRule="auto"/>
        <w:ind w:right="2520" w:firstLine="480" w:firstLineChars="200"/>
        <w:rPr>
          <w:rFonts w:hint="eastAsia" w:ascii="黑体" w:hAnsi="宋体" w:eastAsia="黑体"/>
          <w:sz w:val="24"/>
        </w:rPr>
      </w:pPr>
    </w:p>
    <w:p>
      <w:pPr>
        <w:snapToGrid w:val="0"/>
        <w:spacing w:line="288" w:lineRule="auto"/>
        <w:ind w:right="2520" w:firstLine="480" w:firstLineChars="200"/>
        <w:rPr>
          <w:rFonts w:hint="eastAsia" w:ascii="黑体" w:hAnsi="宋体" w:eastAsia="黑体"/>
          <w:sz w:val="24"/>
        </w:rPr>
      </w:pPr>
    </w:p>
    <w:p>
      <w:pPr>
        <w:snapToGrid w:val="0"/>
        <w:spacing w:line="288" w:lineRule="auto"/>
        <w:ind w:right="2520" w:firstLine="480" w:firstLineChars="200"/>
        <w:rPr>
          <w:rFonts w:hint="eastAsia" w:ascii="黑体" w:hAnsi="宋体" w:eastAsia="黑体"/>
          <w:sz w:val="24"/>
        </w:rPr>
      </w:pPr>
    </w:p>
    <w:p>
      <w:pPr>
        <w:snapToGrid w:val="0"/>
        <w:spacing w:line="288" w:lineRule="auto"/>
        <w:ind w:right="2520" w:firstLine="480" w:firstLineChars="200"/>
        <w:rPr>
          <w:rFonts w:hint="eastAsia" w:ascii="黑体" w:hAnsi="宋体" w:eastAsia="黑体"/>
          <w:sz w:val="24"/>
        </w:rPr>
      </w:pPr>
    </w:p>
    <w:p>
      <w:pPr>
        <w:snapToGrid w:val="0"/>
        <w:spacing w:line="288" w:lineRule="auto"/>
        <w:ind w:right="2520" w:firstLine="480" w:firstLineChars="200"/>
        <w:rPr>
          <w:rFonts w:hint="eastAsia" w:ascii="黑体" w:hAnsi="宋体" w:eastAsia="黑体"/>
          <w:sz w:val="24"/>
        </w:rPr>
      </w:pPr>
    </w:p>
    <w:p>
      <w:pPr>
        <w:snapToGrid w:val="0"/>
        <w:spacing w:line="288" w:lineRule="auto"/>
        <w:ind w:right="2520" w:firstLine="480" w:firstLineChars="200"/>
        <w:rPr>
          <w:rFonts w:hint="eastAsia" w:ascii="黑体" w:hAnsi="宋体" w:eastAsia="黑体"/>
          <w:sz w:val="24"/>
        </w:rPr>
      </w:pPr>
    </w:p>
    <w:p>
      <w:pPr>
        <w:snapToGrid w:val="0"/>
        <w:spacing w:line="288" w:lineRule="auto"/>
        <w:ind w:right="2520" w:firstLine="480" w:firstLineChars="200"/>
        <w:rPr>
          <w:rFonts w:hint="eastAsia" w:ascii="黑体" w:hAnsi="宋体" w:eastAsia="黑体"/>
          <w:sz w:val="24"/>
        </w:rPr>
      </w:pPr>
      <w:r>
        <w:rPr>
          <w:rFonts w:hint="eastAsia" w:ascii="黑体" w:hAnsi="宋体" w:eastAsia="黑体"/>
          <w:sz w:val="24"/>
        </w:rPr>
        <w:t>八、评价方式与成绩</w:t>
      </w:r>
    </w:p>
    <w:tbl>
      <w:tblPr>
        <w:tblStyle w:val="5"/>
        <w:tblpPr w:leftFromText="180" w:rightFromText="180" w:vertAnchor="text" w:horzAnchor="margin" w:tblpY="651"/>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1</w:t>
            </w:r>
          </w:p>
        </w:tc>
        <w:tc>
          <w:tcPr>
            <w:tcW w:w="5103" w:type="dxa"/>
            <w:shd w:val="clear" w:color="auto" w:fill="auto"/>
          </w:tcPr>
          <w:p>
            <w:pPr>
              <w:snapToGrid w:val="0"/>
              <w:spacing w:before="156" w:beforeLines="50" w:after="156" w:afterLines="50"/>
              <w:jc w:val="both"/>
              <w:rPr>
                <w:rFonts w:hint="default" w:ascii="宋体" w:hAnsi="宋体" w:eastAsia="宋体"/>
                <w:bCs/>
                <w:color w:val="000000"/>
                <w:szCs w:val="20"/>
                <w:lang w:val="en-US" w:eastAsia="zh-CN"/>
              </w:rPr>
            </w:pPr>
            <w:r>
              <w:rPr>
                <w:rFonts w:hint="eastAsia" w:ascii="宋体" w:hAnsi="宋体"/>
                <w:bCs/>
                <w:color w:val="000000"/>
                <w:szCs w:val="20"/>
                <w:lang w:val="en-US" w:eastAsia="zh-CN"/>
              </w:rPr>
              <w:t xml:space="preserve">                   期末考试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color w:val="000000"/>
                <w:sz w:val="20"/>
                <w:szCs w:val="20"/>
              </w:rPr>
              <w:t>40</w:t>
            </w:r>
            <w:r>
              <w:rPr>
                <w:rFonts w:hint="eastAsia"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hint="eastAsia" w:ascii="宋体" w:hAnsi="宋体" w:eastAsia="宋体"/>
                <w:bCs/>
                <w:color w:val="000000"/>
                <w:szCs w:val="20"/>
                <w:lang w:val="en-US" w:eastAsia="zh-CN"/>
              </w:rPr>
            </w:pPr>
            <w:r>
              <w:rPr>
                <w:rFonts w:hint="eastAsia" w:ascii="宋体" w:hAnsi="宋体"/>
                <w:bCs/>
                <w:color w:val="000000"/>
                <w:szCs w:val="20"/>
              </w:rPr>
              <w:t>X</w:t>
            </w:r>
            <w:r>
              <w:rPr>
                <w:rFonts w:hint="eastAsia" w:ascii="宋体" w:hAnsi="宋体"/>
                <w:bCs/>
                <w:color w:val="000000"/>
                <w:szCs w:val="20"/>
                <w:lang w:val="en-US" w:eastAsia="zh-CN"/>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color w:val="000000"/>
                <w:sz w:val="20"/>
                <w:szCs w:val="20"/>
              </w:rPr>
              <w:t>实训报告</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color w:val="000000"/>
                <w:sz w:val="20"/>
                <w:szCs w:val="20"/>
                <w:lang w:val="en-US" w:eastAsia="zh-CN"/>
              </w:rPr>
              <w:t>3</w:t>
            </w:r>
            <w:r>
              <w:rPr>
                <w:rFonts w:hint="eastAsia" w:ascii="宋体" w:hAnsi="宋体"/>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hint="eastAsia" w:ascii="宋体" w:hAnsi="宋体" w:eastAsia="宋体"/>
                <w:bCs/>
                <w:color w:val="000000"/>
                <w:szCs w:val="20"/>
                <w:lang w:val="en-US" w:eastAsia="zh-CN"/>
              </w:rPr>
            </w:pPr>
            <w:r>
              <w:rPr>
                <w:rFonts w:hint="eastAsia" w:ascii="宋体" w:hAnsi="宋体"/>
                <w:bCs/>
                <w:color w:val="000000"/>
                <w:szCs w:val="20"/>
              </w:rPr>
              <w:t>X</w:t>
            </w:r>
            <w:r>
              <w:rPr>
                <w:rFonts w:hint="eastAsia" w:ascii="宋体" w:hAnsi="宋体"/>
                <w:bCs/>
                <w:color w:val="000000"/>
                <w:szCs w:val="20"/>
                <w:lang w:val="en-US" w:eastAsia="zh-CN"/>
              </w:rPr>
              <w:t>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color w:val="000000"/>
                <w:sz w:val="20"/>
                <w:szCs w:val="20"/>
              </w:rPr>
              <w:t>作业</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color w:val="000000"/>
                <w:sz w:val="20"/>
                <w:szCs w:val="20"/>
              </w:rPr>
              <w:t>2</w:t>
            </w:r>
            <w:r>
              <w:rPr>
                <w:rFonts w:ascii="宋体" w:hAnsi="宋体"/>
                <w:color w:val="000000"/>
                <w:sz w:val="20"/>
                <w:szCs w:val="20"/>
              </w:rPr>
              <w:t>0</w:t>
            </w:r>
            <w:r>
              <w:rPr>
                <w:rFonts w:hint="eastAsia"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hint="eastAsia" w:ascii="宋体" w:hAnsi="宋体" w:eastAsia="宋体"/>
                <w:bCs/>
                <w:color w:val="000000"/>
                <w:szCs w:val="20"/>
                <w:lang w:val="en-US" w:eastAsia="zh-CN"/>
              </w:rPr>
            </w:pPr>
            <w:r>
              <w:rPr>
                <w:rFonts w:hint="eastAsia" w:ascii="宋体" w:hAnsi="宋体"/>
                <w:bCs/>
                <w:color w:val="000000"/>
                <w:szCs w:val="20"/>
              </w:rPr>
              <w:t>X</w:t>
            </w:r>
            <w:r>
              <w:rPr>
                <w:rFonts w:hint="eastAsia" w:ascii="宋体" w:hAnsi="宋体"/>
                <w:bCs/>
                <w:color w:val="000000"/>
                <w:szCs w:val="20"/>
                <w:lang w:val="en-US" w:eastAsia="zh-CN"/>
              </w:rPr>
              <w:t>3</w:t>
            </w:r>
          </w:p>
        </w:tc>
        <w:tc>
          <w:tcPr>
            <w:tcW w:w="5103" w:type="dxa"/>
            <w:shd w:val="clear" w:color="auto" w:fill="auto"/>
          </w:tcPr>
          <w:p>
            <w:pPr>
              <w:snapToGrid w:val="0"/>
              <w:spacing w:before="156" w:beforeLines="50" w:after="156"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平时表现</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color w:val="000000"/>
                <w:sz w:val="20"/>
                <w:szCs w:val="20"/>
              </w:rPr>
              <w:t>10%</w:t>
            </w:r>
          </w:p>
        </w:tc>
      </w:tr>
    </w:tbl>
    <w:p>
      <w:pPr>
        <w:snapToGrid w:val="0"/>
        <w:spacing w:line="288" w:lineRule="auto"/>
        <w:rPr>
          <w:sz w:val="28"/>
          <w:szCs w:val="28"/>
        </w:rPr>
      </w:pPr>
      <w:r>
        <w:drawing>
          <wp:anchor distT="0" distB="0" distL="114300" distR="114300" simplePos="0" relativeHeight="251660288" behindDoc="0" locked="0" layoutInCell="1" allowOverlap="1">
            <wp:simplePos x="0" y="0"/>
            <wp:positionH relativeFrom="column">
              <wp:posOffset>4593590</wp:posOffset>
            </wp:positionH>
            <wp:positionV relativeFrom="paragraph">
              <wp:posOffset>2343150</wp:posOffset>
            </wp:positionV>
            <wp:extent cx="806450" cy="4762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806450" cy="476250"/>
                    </a:xfrm>
                    <a:prstGeom prst="rect">
                      <a:avLst/>
                    </a:prstGeom>
                    <a:noFill/>
                    <a:ln>
                      <a:noFill/>
                    </a:ln>
                  </pic:spPr>
                </pic:pic>
              </a:graphicData>
            </a:graphic>
          </wp:anchor>
        </w:drawing>
      </w:r>
      <w:r>
        <w:rPr>
          <w:rFonts w:hint="eastAsia"/>
          <w:sz w:val="28"/>
          <w:szCs w:val="28"/>
        </w:rPr>
        <w:t xml:space="preserve">撰写人：  </w:t>
      </w:r>
      <w:r>
        <w:rPr>
          <w:sz w:val="28"/>
          <w:szCs w:val="28"/>
        </w:rPr>
        <w:drawing>
          <wp:inline distT="0" distB="0" distL="0" distR="0">
            <wp:extent cx="628015" cy="388620"/>
            <wp:effectExtent l="0" t="0" r="6985" b="5080"/>
            <wp:docPr id="2" name="图片 2" descr="C:\Users\Administrator\AppData\Local\Microsoft\Windows\INetCache\Content.Word\牟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Microsoft\Windows\INetCache\Content.Word\牟喆.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55072" cy="405522"/>
                    </a:xfrm>
                    <a:prstGeom prst="rect">
                      <a:avLst/>
                    </a:prstGeom>
                    <a:noFill/>
                    <a:ln>
                      <a:noFill/>
                    </a:ln>
                  </pic:spPr>
                </pic:pic>
              </a:graphicData>
            </a:graphic>
          </wp:inline>
        </w:drawing>
      </w:r>
      <w:r>
        <w:rPr>
          <w:rFonts w:hint="eastAsia"/>
          <w:sz w:val="28"/>
          <w:szCs w:val="28"/>
        </w:rPr>
        <w:t xml:space="preserve">                系主任审核签名：</w:t>
      </w:r>
    </w:p>
    <w:p>
      <w:pPr>
        <w:snapToGrid w:val="0"/>
        <w:spacing w:line="288" w:lineRule="auto"/>
      </w:pPr>
      <w:r>
        <w:rPr>
          <w:rFonts w:hint="eastAsia"/>
          <w:sz w:val="28"/>
          <w:szCs w:val="28"/>
        </w:rPr>
        <w:t>审核时间：</w:t>
      </w:r>
      <w:r>
        <w:rPr>
          <w:rFonts w:hint="eastAsia"/>
          <w:sz w:val="28"/>
          <w:szCs w:val="28"/>
          <w:lang w:val="en-US" w:eastAsia="zh-CN"/>
        </w:rPr>
        <w:t>2023年9月10日</w:t>
      </w:r>
      <w:r>
        <w:rPr>
          <w:rFonts w:hint="eastAsia"/>
          <w:sz w:val="28"/>
          <w:szCs w:val="28"/>
        </w:rPr>
        <w:t xml:space="preserve">     </w:t>
      </w:r>
      <w:bookmarkStart w:id="1" w:name="_GoBack"/>
      <w:bookmarkEnd w:id="1"/>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Yu Gothic UI Semibold">
    <w:panose1 w:val="020B07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MxMDQxYmI5NzVkOTJkMTlkZTc0YWY1NDg2MWIzZDUifQ=="/>
  </w:docVars>
  <w:rsids>
    <w:rsidRoot w:val="00B7651F"/>
    <w:rsid w:val="000130D2"/>
    <w:rsid w:val="001072BC"/>
    <w:rsid w:val="001E6F93"/>
    <w:rsid w:val="00222914"/>
    <w:rsid w:val="00227EF5"/>
    <w:rsid w:val="00256B39"/>
    <w:rsid w:val="0026033C"/>
    <w:rsid w:val="002D2DC8"/>
    <w:rsid w:val="002E19D1"/>
    <w:rsid w:val="002E3721"/>
    <w:rsid w:val="00313BBA"/>
    <w:rsid w:val="00320F5A"/>
    <w:rsid w:val="0032602E"/>
    <w:rsid w:val="003367AE"/>
    <w:rsid w:val="003979EE"/>
    <w:rsid w:val="003B1258"/>
    <w:rsid w:val="004100B0"/>
    <w:rsid w:val="00470A53"/>
    <w:rsid w:val="005467DC"/>
    <w:rsid w:val="00553D03"/>
    <w:rsid w:val="00594D34"/>
    <w:rsid w:val="005B2B6D"/>
    <w:rsid w:val="005B4B4E"/>
    <w:rsid w:val="00624FE1"/>
    <w:rsid w:val="00681A47"/>
    <w:rsid w:val="007208D6"/>
    <w:rsid w:val="007500AB"/>
    <w:rsid w:val="00755D4B"/>
    <w:rsid w:val="00775B46"/>
    <w:rsid w:val="008B397C"/>
    <w:rsid w:val="008B47F4"/>
    <w:rsid w:val="00900019"/>
    <w:rsid w:val="00986D50"/>
    <w:rsid w:val="0099063E"/>
    <w:rsid w:val="00A769B1"/>
    <w:rsid w:val="00A827DC"/>
    <w:rsid w:val="00A837D5"/>
    <w:rsid w:val="00AC4C45"/>
    <w:rsid w:val="00B46F21"/>
    <w:rsid w:val="00B511A5"/>
    <w:rsid w:val="00B736A7"/>
    <w:rsid w:val="00B7651F"/>
    <w:rsid w:val="00B83F1D"/>
    <w:rsid w:val="00C56E09"/>
    <w:rsid w:val="00CF096B"/>
    <w:rsid w:val="00E16D30"/>
    <w:rsid w:val="00E33169"/>
    <w:rsid w:val="00E70904"/>
    <w:rsid w:val="00EF44B1"/>
    <w:rsid w:val="00F02BC7"/>
    <w:rsid w:val="00F35AA0"/>
    <w:rsid w:val="00FD4F39"/>
    <w:rsid w:val="00FE4679"/>
    <w:rsid w:val="016E63C2"/>
    <w:rsid w:val="024B0C39"/>
    <w:rsid w:val="0A8128A6"/>
    <w:rsid w:val="0BF32A1B"/>
    <w:rsid w:val="0CA95389"/>
    <w:rsid w:val="0D2D54DF"/>
    <w:rsid w:val="0EC95C85"/>
    <w:rsid w:val="0F3375A2"/>
    <w:rsid w:val="10BD2C22"/>
    <w:rsid w:val="18567E5D"/>
    <w:rsid w:val="1E8E4CA2"/>
    <w:rsid w:val="22987C80"/>
    <w:rsid w:val="24192CCC"/>
    <w:rsid w:val="2BF0019E"/>
    <w:rsid w:val="368C51C5"/>
    <w:rsid w:val="39A66CD4"/>
    <w:rsid w:val="3CD52CE1"/>
    <w:rsid w:val="410F2E6A"/>
    <w:rsid w:val="4316693B"/>
    <w:rsid w:val="4430136C"/>
    <w:rsid w:val="44CC2772"/>
    <w:rsid w:val="4AB0382B"/>
    <w:rsid w:val="4C7D7831"/>
    <w:rsid w:val="530C74BB"/>
    <w:rsid w:val="569868B5"/>
    <w:rsid w:val="58645662"/>
    <w:rsid w:val="611F6817"/>
    <w:rsid w:val="617E0468"/>
    <w:rsid w:val="642872E5"/>
    <w:rsid w:val="66CA1754"/>
    <w:rsid w:val="671309C0"/>
    <w:rsid w:val="6BFB4A38"/>
    <w:rsid w:val="6F1E65D4"/>
    <w:rsid w:val="6F266C86"/>
    <w:rsid w:val="6F5042C2"/>
    <w:rsid w:val="71BA4785"/>
    <w:rsid w:val="74316312"/>
    <w:rsid w:val="780F13C8"/>
    <w:rsid w:val="7BAC557B"/>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4444</Words>
  <Characters>4685</Characters>
  <Lines>37</Lines>
  <Paragraphs>10</Paragraphs>
  <TotalTime>1</TotalTime>
  <ScaleCrop>false</ScaleCrop>
  <LinksUpToDate>false</LinksUpToDate>
  <CharactersWithSpaces>4756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ymf</cp:lastModifiedBy>
  <dcterms:modified xsi:type="dcterms:W3CDTF">2023-09-12T12:02:46Z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8B93F0967D404DD59E2A1E26DB74B828_12</vt:lpwstr>
  </property>
</Properties>
</file>