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《护理学基础2》专科课程教学大纲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护理学基础2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Fundamentals of Nursing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r>
              <w:rPr>
                <w:rFonts w:asciiTheme="minorEastAsia" w:hAnsiTheme="minorEastAsia" w:eastAsiaTheme="minorEastAsia"/>
                <w:color w:val="000000" w:themeColor="text1"/>
                <w:sz w:val="21"/>
                <w:szCs w:val="21"/>
                <w14:textFill>
                  <w14:solidFill>
                    <w14:schemeClr w14:val="tx1"/>
                  </w14:solidFill>
                </w14:textFill>
              </w:rPr>
              <w:t>010017</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《基础护理学》，</w:t>
            </w:r>
            <w:r>
              <w:rPr>
                <w:rFonts w:hint="eastAsia" w:asciiTheme="minorEastAsia" w:hAnsiTheme="minorEastAsia" w:eastAsiaTheme="minorEastAsia"/>
                <w:color w:val="000000" w:themeColor="text1"/>
                <w:sz w:val="21"/>
                <w:szCs w:val="21"/>
                <w14:textFill>
                  <w14:solidFill>
                    <w14:schemeClr w14:val="tx1"/>
                  </w14:solidFill>
                </w14:textFill>
              </w:rPr>
              <w:t>主编：</w:t>
            </w:r>
            <w:r>
              <w:rPr>
                <w:rFonts w:asciiTheme="minorEastAsia" w:hAnsiTheme="minorEastAsia" w:eastAsiaTheme="minorEastAsia"/>
                <w:color w:val="000000" w:themeColor="text1"/>
                <w:sz w:val="21"/>
                <w:szCs w:val="21"/>
                <w14:textFill>
                  <w14:solidFill>
                    <w14:schemeClr w14:val="tx1"/>
                  </w14:solidFill>
                </w14:textFill>
              </w:rPr>
              <w:t>张连辉 邓翠珍</w:t>
            </w:r>
          </w:p>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ISBN </w:t>
            </w:r>
            <w:r>
              <w:rPr>
                <w:rFonts w:asciiTheme="minorEastAsia" w:hAnsiTheme="minorEastAsia" w:eastAsiaTheme="minorEastAsia"/>
                <w:color w:val="000000" w:themeColor="text1"/>
                <w:sz w:val="21"/>
                <w:szCs w:val="21"/>
                <w14:textFill>
                  <w14:solidFill>
                    <w14:schemeClr w14:val="tx1"/>
                  </w14:solidFill>
                </w14:textFill>
              </w:rPr>
              <w:t>978-7-117-27784-6</w:t>
            </w:r>
          </w:p>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人民卫生出版社，</w:t>
            </w:r>
            <w:r>
              <w:rPr>
                <w:rFonts w:asciiTheme="minorEastAsia" w:hAnsiTheme="minorEastAsia" w:eastAsiaTheme="minorEastAsia"/>
                <w:color w:val="000000" w:themeColor="text1"/>
                <w:sz w:val="21"/>
                <w:szCs w:val="21"/>
                <w14:textFill>
                  <w14:solidFill>
                    <w14:schemeClr w14:val="tx1"/>
                  </w14:solidFill>
                </w14:textFill>
              </w:rPr>
              <w:t>2022</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正常人体学基础</w:t>
            </w:r>
            <w:r>
              <w:t>1</w:t>
            </w:r>
            <w:r>
              <w:rPr>
                <w:rFonts w:hint="eastAsia"/>
              </w:rPr>
              <w:t>、正常人体学基础2、护理导论、护理学基础</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5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通过本课程的学习，学生能系统地掌握护理专业的基本知识、基本理论和基本技能，培养高尚的职业道德修养，为继续学习其他护理专业课程和促进专业发展奠定坚实的基础。本课程紧紧围绕高职高专护理类专业培养具有人道、博爱、奉献精神的良好职业道德、创新精神的高端技能型护理人才的目标，结合护理岗位和全国护士执业资格考试要求，力求做到科学性、先进性、启发性、创新性和适用性相结合，在内容上体现了“必需、够用”，从临床的需要出发，运用护理程序的工作方法，把“以人为中心”的现代护理理念及“医工融合”理念有机地贯穿于教学内容中，注重培养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pPr>
            <w:r>
              <w:rPr>
                <w:rFonts w:hint="eastAsia"/>
              </w:rPr>
              <w:t>本课程适用于护理专业，以正常人体学基础</w:t>
            </w:r>
            <w:r>
              <w:t>1（人体结构学）、正常人体学基础2（人体功能学）等医学基础课程和护理导论护理专业课程为基础，后续学习的课程有</w:t>
            </w:r>
            <w:r>
              <w:rPr>
                <w:rFonts w:hint="eastAsia"/>
              </w:rPr>
              <w:t>内、外、妇、儿</w:t>
            </w:r>
            <w:r>
              <w:t>等护理专科课程。因此，本课程是衔接护理类基础课程和专科课程的桥梁。本课程在专业培养计划中分割为</w:t>
            </w:r>
            <w:r>
              <w:rPr>
                <w:rFonts w:hint="eastAsia"/>
              </w:rPr>
              <w:t>两</w:t>
            </w:r>
            <w:r>
              <w:t>部分，分别是护理学基础1、护理学基础2。本部分是护理学基础2，安排在第</w:t>
            </w:r>
            <w:r>
              <w:rPr>
                <w:rFonts w:hint="eastAsia"/>
              </w:rPr>
              <w:t>二</w:t>
            </w:r>
            <w: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61670" cy="252095"/>
                  <wp:effectExtent l="0" t="0" r="5080" b="0"/>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bookmarkStart w:id="4" w:name="_GoBack"/>
            <w:r>
              <w:rPr>
                <w:position w:val="-12"/>
              </w:rPr>
              <w:drawing>
                <wp:inline distT="0" distB="0" distL="0" distR="0">
                  <wp:extent cx="606425" cy="273685"/>
                  <wp:effectExtent l="0" t="0" r="317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606425" cy="273685"/>
                          </a:xfrm>
                          <a:prstGeom prst="rect">
                            <a:avLst/>
                          </a:prstGeom>
                        </pic:spPr>
                      </pic:pic>
                    </a:graphicData>
                  </a:graphic>
                </wp:inline>
              </w:drawing>
            </w:r>
            <w:bookmarkEnd w:id="4"/>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bookmarkStart w:id="0" w:name="OLE_LINK1"/>
      <w:bookmarkStart w:id="1" w:name="OLE_LINK2"/>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ascii="宋体" w:hAnsi="宋体"/>
                <w:bCs/>
              </w:rPr>
              <w:t>能阐述基础护理学的基本概念、基本知识</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ascii="宋体" w:hAnsi="宋体"/>
                <w:bCs/>
              </w:rPr>
              <w:t>能规范熟练地进行各项基础护理技术操作，</w:t>
            </w:r>
            <w:r>
              <w:rPr>
                <w:rFonts w:hint="eastAsia" w:ascii="宋体" w:hAnsi="宋体"/>
                <w:bCs/>
              </w:rPr>
              <w:t>能够熟练使用各种医疗器械，</w:t>
            </w:r>
            <w:r>
              <w:rPr>
                <w:rFonts w:ascii="宋体" w:hAnsi="宋体"/>
                <w:bCs/>
              </w:rPr>
              <w:t>并能将知识技能综合</w:t>
            </w:r>
            <w:r>
              <w:rPr>
                <w:rFonts w:hint="eastAsia" w:ascii="宋体" w:hAnsi="宋体"/>
                <w:bCs/>
              </w:rPr>
              <w:t>应用于护理过程，对操作结果做出正确评价。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能运用科学的思维方法和创新能力，对护理对象实施个体化健康教育的能力，能独立思考、分析、解决护理问题。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能认识到高尚的职业道德和职业情感是护理工作的核心，树立整体护理观念，将责任心、爱心、细心、耐心和同情心贯穿护理实践，养成科学严谨的工作作风和慎独修养；能够利用以课程学习为主的各种机会和组建学习小组发现和分析解决护理问题，形成团队协作精神。</w:t>
            </w:r>
          </w:p>
        </w:tc>
      </w:tr>
    </w:tbl>
    <w:p>
      <w:pPr>
        <w:pStyle w:val="16"/>
        <w:spacing w:before="326" w:beforeLines="100" w:line="360" w:lineRule="auto"/>
        <w:rPr>
          <w:rFonts w:ascii="黑体" w:hAnsi="宋体"/>
        </w:rPr>
      </w:pPr>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2522"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2262"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3"/>
              <w:rPr>
                <w:szCs w:val="16"/>
              </w:rPr>
            </w:pPr>
          </w:p>
        </w:tc>
        <w:tc>
          <w:tcPr>
            <w:tcW w:w="2522" w:type="dxa"/>
            <w:vMerge w:val="continue"/>
            <w:tcBorders>
              <w:top w:val="single" w:color="auto" w:sz="4" w:space="0"/>
              <w:bottom w:val="single" w:color="auto" w:sz="4" w:space="0"/>
            </w:tcBorders>
            <w:shd w:val="clear" w:color="auto" w:fill="auto"/>
            <w:vAlign w:val="center"/>
          </w:tcPr>
          <w:p>
            <w:pPr>
              <w:pStyle w:val="13"/>
              <w:rPr>
                <w:szCs w:val="16"/>
              </w:rPr>
            </w:pPr>
          </w:p>
        </w:tc>
        <w:tc>
          <w:tcPr>
            <w:tcW w:w="2262" w:type="dxa"/>
            <w:vMerge w:val="continue"/>
            <w:tcBorders>
              <w:top w:val="single" w:color="auto" w:sz="4" w:space="0"/>
              <w:bottom w:val="single" w:color="auto" w:sz="4" w:space="0"/>
            </w:tcBorders>
            <w:vAlign w:val="center"/>
          </w:tcPr>
          <w:p>
            <w:pPr>
              <w:pStyle w:val="13"/>
              <w:rPr>
                <w:szCs w:val="16"/>
              </w:rPr>
            </w:pPr>
          </w:p>
        </w:tc>
        <w:tc>
          <w:tcPr>
            <w:tcW w:w="849"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w:t>
            </w:r>
          </w:p>
        </w:tc>
        <w:tc>
          <w:tcPr>
            <w:tcW w:w="2522" w:type="dxa"/>
            <w:tcBorders>
              <w:top w:val="single" w:color="auto" w:sz="4" w:space="0"/>
              <w:bottom w:val="single" w:color="auto" w:sz="4" w:space="0"/>
            </w:tcBorders>
            <w:shd w:val="clear" w:color="auto" w:fill="auto"/>
            <w:vAlign w:val="center"/>
          </w:tcPr>
          <w:p>
            <w:pPr>
              <w:pStyle w:val="14"/>
            </w:pPr>
            <w:r>
              <w:rPr>
                <w:rFonts w:hint="eastAsia"/>
              </w:rPr>
              <w:t>留置导尿术</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3"/>
              <w:rPr>
                <w:szCs w:val="16"/>
              </w:rPr>
            </w:pPr>
            <w:r>
              <w:rPr>
                <w:rFonts w:hint="eastAsia"/>
                <w:szCs w:val="16"/>
              </w:rPr>
              <w:t>6</w:t>
            </w:r>
          </w:p>
        </w:tc>
        <w:tc>
          <w:tcPr>
            <w:tcW w:w="786" w:type="dxa"/>
            <w:tcBorders>
              <w:top w:val="single" w:color="auto" w:sz="4" w:space="0"/>
              <w:bottom w:val="single" w:color="auto" w:sz="4" w:space="0"/>
            </w:tcBorders>
            <w:shd w:val="clear" w:color="auto" w:fill="auto"/>
            <w:vAlign w:val="center"/>
          </w:tcPr>
          <w:p>
            <w:pPr>
              <w:pStyle w:val="14"/>
              <w:rPr>
                <w:rFonts w:ascii="Arial" w:hAnsi="Arial" w:eastAsia="黑体"/>
                <w:bCs/>
                <w:szCs w:val="16"/>
              </w:rPr>
            </w:pPr>
            <w:r>
              <w:rPr>
                <w:rFonts w:hint="eastAsia" w:ascii="Arial" w:hAnsi="Arial" w:eastAsia="黑体"/>
                <w:bCs/>
                <w:szCs w:val="16"/>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29"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2</w:t>
            </w:r>
          </w:p>
        </w:tc>
        <w:tc>
          <w:tcPr>
            <w:tcW w:w="2522" w:type="dxa"/>
            <w:tcBorders>
              <w:top w:val="single" w:color="auto" w:sz="4" w:space="0"/>
              <w:bottom w:val="single" w:color="auto" w:sz="4" w:space="0"/>
            </w:tcBorders>
            <w:shd w:val="clear" w:color="auto" w:fill="auto"/>
            <w:vAlign w:val="center"/>
          </w:tcPr>
          <w:p>
            <w:pPr>
              <w:pStyle w:val="14"/>
            </w:pPr>
            <w:r>
              <w:rPr>
                <w:rFonts w:hint="eastAsia"/>
              </w:rPr>
              <w:t>大量不保留灌肠法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1</w:t>
            </w:r>
          </w:p>
        </w:tc>
        <w:tc>
          <w:tcPr>
            <w:tcW w:w="848" w:type="dxa"/>
            <w:tcBorders>
              <w:top w:val="single" w:color="auto" w:sz="4" w:space="0"/>
              <w:bottom w:val="single" w:color="auto" w:sz="4" w:space="0"/>
            </w:tcBorders>
            <w:vAlign w:val="center"/>
          </w:tcPr>
          <w:p>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3</w:t>
            </w:r>
          </w:p>
        </w:tc>
        <w:tc>
          <w:tcPr>
            <w:tcW w:w="2522" w:type="dxa"/>
            <w:tcBorders>
              <w:top w:val="single" w:color="auto" w:sz="4" w:space="0"/>
              <w:bottom w:val="single" w:color="auto" w:sz="4" w:space="0"/>
            </w:tcBorders>
            <w:shd w:val="clear" w:color="auto" w:fill="auto"/>
            <w:vAlign w:val="center"/>
          </w:tcPr>
          <w:p>
            <w:pPr>
              <w:pStyle w:val="14"/>
            </w:pPr>
            <w:r>
              <w:rPr>
                <w:rFonts w:hint="eastAsia"/>
              </w:rPr>
              <w:t>药液抽吸法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4</w:t>
            </w:r>
          </w:p>
        </w:tc>
        <w:tc>
          <w:tcPr>
            <w:tcW w:w="2522" w:type="dxa"/>
            <w:tcBorders>
              <w:top w:val="single" w:color="auto" w:sz="4" w:space="0"/>
              <w:bottom w:val="single" w:color="auto" w:sz="4" w:space="0"/>
            </w:tcBorders>
            <w:shd w:val="clear" w:color="auto" w:fill="auto"/>
            <w:vAlign w:val="center"/>
          </w:tcPr>
          <w:p>
            <w:pPr>
              <w:pStyle w:val="14"/>
            </w:pPr>
            <w:r>
              <w:rPr>
                <w:rFonts w:hint="eastAsia"/>
              </w:rPr>
              <w:t>皮下注射法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5</w:t>
            </w:r>
          </w:p>
        </w:tc>
        <w:tc>
          <w:tcPr>
            <w:tcW w:w="2522" w:type="dxa"/>
            <w:tcBorders>
              <w:top w:val="single" w:color="auto" w:sz="4" w:space="0"/>
              <w:bottom w:val="single" w:color="auto" w:sz="4" w:space="0"/>
            </w:tcBorders>
            <w:shd w:val="clear" w:color="auto" w:fill="auto"/>
            <w:vAlign w:val="center"/>
          </w:tcPr>
          <w:p>
            <w:pPr>
              <w:pStyle w:val="14"/>
            </w:pPr>
            <w:r>
              <w:rPr>
                <w:rFonts w:hint="eastAsia"/>
              </w:rPr>
              <w:t>肌内注射法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6</w:t>
            </w:r>
          </w:p>
        </w:tc>
        <w:tc>
          <w:tcPr>
            <w:tcW w:w="2522" w:type="dxa"/>
            <w:tcBorders>
              <w:top w:val="single" w:color="auto" w:sz="4" w:space="0"/>
              <w:bottom w:val="single" w:color="auto" w:sz="4" w:space="0"/>
            </w:tcBorders>
            <w:shd w:val="clear" w:color="auto" w:fill="auto"/>
            <w:vAlign w:val="center"/>
          </w:tcPr>
          <w:p>
            <w:pPr>
              <w:pStyle w:val="14"/>
            </w:pPr>
            <w:r>
              <w:rPr>
                <w:rFonts w:hint="eastAsia"/>
              </w:rPr>
              <w:t>静脉注射法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7</w:t>
            </w:r>
          </w:p>
        </w:tc>
        <w:tc>
          <w:tcPr>
            <w:tcW w:w="2522" w:type="dxa"/>
            <w:tcBorders>
              <w:top w:val="single" w:color="auto" w:sz="4" w:space="0"/>
              <w:bottom w:val="single" w:color="auto" w:sz="4" w:space="0"/>
            </w:tcBorders>
            <w:shd w:val="clear" w:color="auto" w:fill="auto"/>
            <w:vAlign w:val="center"/>
          </w:tcPr>
          <w:p>
            <w:pPr>
              <w:pStyle w:val="14"/>
            </w:pPr>
            <w:r>
              <w:rPr>
                <w:rFonts w:hint="eastAsia"/>
              </w:rPr>
              <w:t>青霉素过敏试验</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8</w:t>
            </w:r>
          </w:p>
        </w:tc>
        <w:tc>
          <w:tcPr>
            <w:tcW w:w="2522" w:type="dxa"/>
            <w:tcBorders>
              <w:top w:val="single" w:color="auto" w:sz="4" w:space="0"/>
              <w:bottom w:val="single" w:color="auto" w:sz="4" w:space="0"/>
            </w:tcBorders>
            <w:shd w:val="clear" w:color="auto" w:fill="auto"/>
            <w:vAlign w:val="center"/>
          </w:tcPr>
          <w:p>
            <w:pPr>
              <w:pStyle w:val="14"/>
            </w:pPr>
            <w:r>
              <w:rPr>
                <w:rFonts w:hint="eastAsia"/>
              </w:rPr>
              <w:t>皮内注射法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0</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9</w:t>
            </w:r>
          </w:p>
        </w:tc>
        <w:tc>
          <w:tcPr>
            <w:tcW w:w="2522" w:type="dxa"/>
            <w:tcBorders>
              <w:top w:val="single" w:color="auto" w:sz="4" w:space="0"/>
              <w:bottom w:val="single" w:color="auto" w:sz="4" w:space="0"/>
            </w:tcBorders>
            <w:shd w:val="clear" w:color="auto" w:fill="auto"/>
            <w:vAlign w:val="center"/>
          </w:tcPr>
          <w:p>
            <w:pPr>
              <w:pStyle w:val="14"/>
            </w:pPr>
            <w:r>
              <w:rPr>
                <w:rFonts w:hint="eastAsia"/>
              </w:rPr>
              <w:t>静脉输液及输血</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12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10</w:t>
            </w:r>
          </w:p>
        </w:tc>
        <w:tc>
          <w:tcPr>
            <w:tcW w:w="2522" w:type="dxa"/>
            <w:tcBorders>
              <w:top w:val="single" w:color="auto" w:sz="4" w:space="0"/>
              <w:bottom w:val="single" w:color="auto" w:sz="4" w:space="0"/>
            </w:tcBorders>
            <w:shd w:val="clear" w:color="auto" w:fill="auto"/>
            <w:vAlign w:val="center"/>
          </w:tcPr>
          <w:p>
            <w:pPr>
              <w:pStyle w:val="14"/>
            </w:pPr>
            <w:r>
              <w:rPr>
                <w:rFonts w:hint="eastAsia"/>
              </w:rPr>
              <w:t>冷热疗法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11</w:t>
            </w:r>
          </w:p>
        </w:tc>
        <w:tc>
          <w:tcPr>
            <w:tcW w:w="2522" w:type="dxa"/>
            <w:tcBorders>
              <w:top w:val="single" w:color="auto" w:sz="4" w:space="0"/>
              <w:bottom w:val="single" w:color="auto" w:sz="4" w:space="0"/>
            </w:tcBorders>
            <w:shd w:val="clear" w:color="auto" w:fill="auto"/>
            <w:vAlign w:val="center"/>
          </w:tcPr>
          <w:p>
            <w:pPr>
              <w:pStyle w:val="14"/>
            </w:pPr>
            <w:r>
              <w:rPr>
                <w:rFonts w:hint="eastAsia"/>
              </w:rPr>
              <w:t>标本采集</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12</w:t>
            </w:r>
          </w:p>
        </w:tc>
        <w:tc>
          <w:tcPr>
            <w:tcW w:w="2522" w:type="dxa"/>
            <w:tcBorders>
              <w:top w:val="single" w:color="auto" w:sz="4" w:space="0"/>
              <w:bottom w:val="single" w:color="auto" w:sz="4" w:space="0"/>
            </w:tcBorders>
            <w:shd w:val="clear" w:color="auto" w:fill="auto"/>
            <w:vAlign w:val="center"/>
          </w:tcPr>
          <w:p>
            <w:pPr>
              <w:pStyle w:val="14"/>
            </w:pPr>
            <w:r>
              <w:rPr>
                <w:rFonts w:hint="eastAsia"/>
              </w:rPr>
              <w:t>洗胃法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13</w:t>
            </w:r>
          </w:p>
        </w:tc>
        <w:tc>
          <w:tcPr>
            <w:tcW w:w="2522" w:type="dxa"/>
            <w:tcBorders>
              <w:top w:val="single" w:color="auto" w:sz="4" w:space="0"/>
              <w:bottom w:val="single" w:color="auto" w:sz="4" w:space="0"/>
            </w:tcBorders>
            <w:shd w:val="clear" w:color="auto" w:fill="auto"/>
            <w:vAlign w:val="center"/>
          </w:tcPr>
          <w:p>
            <w:pPr>
              <w:pStyle w:val="14"/>
            </w:pPr>
            <w:r>
              <w:rPr>
                <w:rFonts w:hint="eastAsia"/>
              </w:rPr>
              <w:t>尸体护理</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2</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09" w:type="dxa"/>
            <w:tcBorders>
              <w:top w:val="single" w:color="auto" w:sz="4" w:space="0"/>
              <w:bottom w:val="single" w:color="auto" w:sz="4" w:space="0"/>
            </w:tcBorders>
            <w:shd w:val="clear" w:color="auto" w:fill="auto"/>
            <w:vAlign w:val="center"/>
          </w:tcPr>
          <w:p>
            <w:pPr>
              <w:pStyle w:val="14"/>
            </w:pPr>
            <w:r>
              <w:rPr>
                <w:rFonts w:hint="eastAsia"/>
              </w:rPr>
              <w:t>14</w:t>
            </w:r>
          </w:p>
        </w:tc>
        <w:tc>
          <w:tcPr>
            <w:tcW w:w="2522" w:type="dxa"/>
            <w:tcBorders>
              <w:top w:val="single" w:color="auto" w:sz="4" w:space="0"/>
              <w:bottom w:val="single" w:color="auto" w:sz="4" w:space="0"/>
            </w:tcBorders>
            <w:shd w:val="clear" w:color="auto" w:fill="auto"/>
            <w:vAlign w:val="center"/>
          </w:tcPr>
          <w:p>
            <w:pPr>
              <w:pStyle w:val="14"/>
            </w:pPr>
            <w:r>
              <w:rPr>
                <w:rFonts w:hint="eastAsia"/>
              </w:rPr>
              <w:t>医疗与护理文件记录</w:t>
            </w:r>
          </w:p>
        </w:tc>
        <w:tc>
          <w:tcPr>
            <w:tcW w:w="2262" w:type="dxa"/>
            <w:tcBorders>
              <w:top w:val="single" w:color="auto" w:sz="4" w:space="0"/>
              <w:bottom w:val="single" w:color="auto" w:sz="4" w:space="0"/>
            </w:tcBorders>
            <w:vAlign w:val="center"/>
          </w:tcPr>
          <w:p>
            <w:pPr>
              <w:pStyle w:val="14"/>
            </w:pPr>
            <w:r>
              <w:rPr>
                <w:rFonts w:hint="eastAsia"/>
              </w:rPr>
              <w:t>④</w:t>
            </w:r>
          </w:p>
        </w:tc>
        <w:tc>
          <w:tcPr>
            <w:tcW w:w="849" w:type="dxa"/>
            <w:tcBorders>
              <w:top w:val="single" w:color="auto" w:sz="4" w:space="0"/>
              <w:bottom w:val="single" w:color="auto" w:sz="4" w:space="0"/>
            </w:tcBorders>
            <w:shd w:val="clear" w:color="auto" w:fill="auto"/>
            <w:vAlign w:val="center"/>
          </w:tcPr>
          <w:p>
            <w:pPr>
              <w:pStyle w:val="13"/>
              <w:rPr>
                <w:szCs w:val="16"/>
              </w:rPr>
            </w:pPr>
            <w:r>
              <w:rPr>
                <w:rFonts w:hint="eastAsia"/>
                <w:szCs w:val="16"/>
              </w:rPr>
              <w:t>2</w:t>
            </w:r>
          </w:p>
        </w:tc>
        <w:tc>
          <w:tcPr>
            <w:tcW w:w="848" w:type="dxa"/>
            <w:tcBorders>
              <w:top w:val="single" w:color="auto" w:sz="4" w:space="0"/>
              <w:bottom w:val="single" w:color="auto" w:sz="4" w:space="0"/>
            </w:tcBorders>
            <w:vAlign w:val="center"/>
          </w:tcPr>
          <w:p>
            <w:pPr>
              <w:pStyle w:val="13"/>
              <w:rPr>
                <w:szCs w:val="16"/>
              </w:rPr>
            </w:pPr>
            <w:r>
              <w:rPr>
                <w:rFonts w:hint="eastAsia"/>
                <w:szCs w:val="16"/>
              </w:rPr>
              <w:t>4</w:t>
            </w:r>
          </w:p>
        </w:tc>
        <w:tc>
          <w:tcPr>
            <w:tcW w:w="786" w:type="dxa"/>
            <w:tcBorders>
              <w:top w:val="single" w:color="auto" w:sz="4" w:space="0"/>
              <w:bottom w:val="single" w:color="auto" w:sz="4" w:space="0"/>
            </w:tcBorders>
            <w:shd w:val="clear" w:color="auto" w:fill="auto"/>
            <w:vAlign w:val="center"/>
          </w:tcPr>
          <w:p>
            <w:pPr>
              <w:pStyle w:val="13"/>
              <w:rPr>
                <w:szCs w:val="16"/>
              </w:rPr>
            </w:pPr>
            <w:r>
              <w:rPr>
                <w:rFonts w:hint="eastAsia"/>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rPr>
              <w:t>留置导尿术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知道留置导尿术的目的及注意事项；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运用导尿技术为排尿异常患者进行导尿；</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无菌观念强，手法正确、轻柔，位置正确无损伤。</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按照护理程序正确、熟练地给患者实施导尿术；</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知道泌尿系统的解剖结构及生理功能；明确排尿活动评估的内容；理解导尿术、留置导尿术、膀胱冲洗的目的、操作程序及注意事项；运用排尿异常病人、留置导尿病人的护理方法。</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女患者留置导尿术操作评分标准；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男患者留置导尿术操作评分标准。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rPr>
              <w:t>大量不保留灌肠法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知道大量不保留灌肠的目的、适应证及禁忌证、常用灌肠溶液</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明确大量不保留灌肠操作流程；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运用灌肠技术为患者进行灌肠。</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按照护理程序正确、熟练地给患者实施大量不保留灌肠；</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知道大肠的解剖结构及生理功能；明确排便活动评估的内容；理解灌肠法的目的、操作程序及注意事项；运用排便异常病人的护理方法。</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大量不保留灌肠操作评分标准。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Cs/>
                <w:sz w:val="21"/>
                <w:szCs w:val="21"/>
              </w:rPr>
            </w:pPr>
            <w:r>
              <w:rPr>
                <w:rFonts w:hint="eastAsia" w:cs="仿宋"/>
                <w:bCs/>
                <w:color w:val="000000"/>
                <w:szCs w:val="21"/>
              </w:rPr>
              <w:t>实验3：药液抽吸</w:t>
            </w:r>
            <w:r>
              <w:rPr>
                <w:rFonts w:hint="eastAsia"/>
              </w:rPr>
              <w:t>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1.知道药液抽吸法的目的、方法、注意事项及配合要点；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2.明确药液抽吸法操作流程；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3.运用药液抽吸法技术为患者进行药液抽吸并能正确配置药液。</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1.按照护理程序正确、熟练地给患者完成药液抽吸；</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1.药液抽吸法操作评分标准。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实验4：</w:t>
            </w:r>
            <w:r>
              <w:rPr>
                <w:rFonts w:hint="eastAsia"/>
              </w:rPr>
              <w:t>皮下注射法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知道皮下注射的目的、方法、注意事项及配合要点；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明确皮下注射操作流程；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运用皮下注射技术为患者进行注射并能及时处理并发症。</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按照护理程序正确、熟练地给患者完成皮下注射；</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知道局部给药法的相关知识；熟悉给药的基本知识、给药次数及间隔时间；明确药疗原则、注射原则；理解皮下注射法的目的、部位和注意事项。</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皮下注射操作评分标准。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实验5：</w:t>
            </w:r>
            <w:r>
              <w:rPr>
                <w:rFonts w:hint="eastAsia"/>
              </w:rPr>
              <w:t>肌内注射法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知道肌内注射的目的、注意事项、肌肉注射常用部位及定位方法；</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明确肌内注射操作流程；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运用肌内注射技术为患者进行注射并尽可能减轻患者注射疼痛。</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按照护理程序正确、熟练地给患者完成肌内注射；</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知道局部给药法的相关知识；熟悉给药的基本知识、给药次数及间隔时间；明确药疗原则、注射原则；理解肌内注射法的目的、部位和注意事项。</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肌内注射操作评分标准。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both"/>
              <w:rPr>
                <w:rFonts w:cs="Arial" w:asciiTheme="minorEastAsia" w:hAnsiTheme="minorEastAsia" w:eastAsiaTheme="minorEastAsia"/>
                <w:b/>
                <w:sz w:val="21"/>
                <w:szCs w:val="21"/>
              </w:rPr>
            </w:pPr>
            <w:r>
              <w:rPr>
                <w:rFonts w:hint="eastAsia" w:cs="仿宋"/>
                <w:bCs/>
                <w:color w:val="000000"/>
                <w:szCs w:val="21"/>
              </w:rPr>
              <w:t>实验6：</w:t>
            </w:r>
            <w:r>
              <w:rPr>
                <w:rFonts w:hint="eastAsia"/>
              </w:rPr>
              <w:t>静脉注射法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知道静脉注射的概念、目的、方法及注意事项；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明确静脉注射操作流程；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运用静脉注射技术为患者进行注射；</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分析静脉注射穿刺失败的原因。</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按照护理程序正确、熟练地给患者完成静脉注射；</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知道局部给药法的相关知识；熟悉给药的基本知识、给药次数及间隔时间；明确药疗原则、注射原则；理解静脉注射法的目的、部位和注意事项。</w:t>
            </w:r>
          </w:p>
          <w:p>
            <w:pPr>
              <w:widowControl w:val="0"/>
              <w:snapToGrid w:val="0"/>
              <w:jc w:val="both"/>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both"/>
              <w:rPr>
                <w:rFonts w:cs="Arial" w:asciiTheme="minorEastAsia" w:hAnsiTheme="minorEastAsia" w:eastAsiaTheme="minorEastAsia"/>
                <w:b/>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静脉注射操作评分标准。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实验7：</w:t>
            </w:r>
            <w:r>
              <w:rPr>
                <w:rFonts w:hint="eastAsia"/>
              </w:rPr>
              <w:t>青霉素过敏试验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知道青霉素过敏试验的目的、方法及注意事项；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明确皮试液的配置及</w:t>
            </w:r>
            <w:r>
              <w:rPr>
                <w:rFonts w:hint="eastAsia"/>
                <w:sz w:val="21"/>
                <w:szCs w:val="21"/>
              </w:rPr>
              <w:t>青霉素过敏试验</w:t>
            </w:r>
            <w:r>
              <w:rPr>
                <w:rFonts w:hint="eastAsia" w:cs="Arial" w:asciiTheme="minorEastAsia" w:hAnsiTheme="minorEastAsia" w:eastAsiaTheme="minorEastAsia"/>
                <w:bCs/>
                <w:sz w:val="21"/>
                <w:szCs w:val="21"/>
              </w:rPr>
              <w:t>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运用皮内注射技术为患者实施</w:t>
            </w:r>
            <w:r>
              <w:rPr>
                <w:rFonts w:hint="eastAsia"/>
                <w:sz w:val="21"/>
                <w:szCs w:val="21"/>
              </w:rPr>
              <w:t>青霉素过敏试验</w:t>
            </w:r>
            <w:r>
              <w:rPr>
                <w:rFonts w:hint="eastAsia" w:cs="Arial" w:asciiTheme="minorEastAsia" w:hAnsiTheme="minorEastAsia" w:eastAsiaTheme="minorEastAsia"/>
                <w:bCs/>
                <w:sz w:val="21"/>
                <w:szCs w:val="21"/>
              </w:rPr>
              <w:t>；</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分析青霉素过敏试验结果并会处理过敏性休克。</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按照护理程序正确、熟练地给患者完成青霉素过敏试验；</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能够正确处理过敏性休克；</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4.</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pStyle w:val="14"/>
              <w:widowControl w:val="0"/>
              <w:jc w:val="left"/>
              <w:rPr>
                <w:rFonts w:hint="eastAsia" w:ascii="宋体" w:hAnsi="宋体"/>
                <w:bCs/>
              </w:rPr>
            </w:pPr>
            <w:r>
              <w:rPr>
                <w:rFonts w:hint="eastAsia" w:ascii="宋体" w:hAnsi="宋体"/>
                <w:bCs/>
              </w:rPr>
              <w:t>知道局部给药法的相关知识；明确药疗原则、注射原则；理解青霉素过敏试验的目的、部位和注意事项；运用青霉素过敏性休克的预防及处理方法。</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青霉素过敏试验操作评分标准。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Cs/>
                <w:sz w:val="21"/>
                <w:szCs w:val="21"/>
              </w:rPr>
            </w:pPr>
            <w:r>
              <w:rPr>
                <w:rFonts w:hint="eastAsia" w:cs="仿宋"/>
                <w:bCs/>
                <w:color w:val="000000"/>
                <w:szCs w:val="21"/>
              </w:rPr>
              <w:t>实验8：皮</w:t>
            </w:r>
            <w:r>
              <w:rPr>
                <w:rFonts w:hint="eastAsia"/>
              </w:rPr>
              <w:t>内注射法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知道皮内注射的目的、注意事项、肌肉注射常用部位及定位方法；</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明确皮内注射操作流程；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运用皮内注射技术为患者进行注射并尽可能减轻患者注射疼痛。</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按照护理程序正确、熟练地给患者完成皮内注射；</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能够严格执行查对制度、无菌操作原则及消毒隔离制度；</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3.</w:t>
            </w:r>
            <w:r>
              <w:rPr>
                <w:rFonts w:hint="eastAsia" w:cs="Arial" w:asciiTheme="minorEastAsia" w:hAnsiTheme="minorEastAsia" w:eastAsiaTheme="minorEastAsia"/>
                <w:bCs/>
                <w:sz w:val="21"/>
                <w:szCs w:val="21"/>
              </w:rPr>
              <w:t>具有严谨、慎独的护理工作态度和以人为本的护理理念；能够克服畏惧心理，增强注射信心。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皮内注射操作评分标准。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实验9：</w:t>
            </w:r>
            <w:r>
              <w:rPr>
                <w:rFonts w:hint="eastAsia"/>
              </w:rPr>
              <w:t>静脉输液及输血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知道静脉输液及输血的目的及注意事项；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2.知道常见输液及输血故障及处理措施、常见输液及输血反应原因、临床表现及处理原则。</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3.明确密闭式周围静脉输液及输血的操作流程；</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按照护理程序正确、熟练地给患者完成密闭式周围静脉输液及输血并能处理输液故障；</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2.能够根据临床表现分析常见输液及输血反应原因并能及时处理；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4.具有严谨、慎独的护理工作态度和以人为本的护理理念；能够克服畏惧心理，增强静脉输液成功的信心。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知道静脉输液的原理、输液微粒污染、自体输血；熟悉静脉输液的目的、常用溶液的种类及作用、常用输液部位、静脉输血的目的、血制品的种类及适应证；理解各类静脉输液和输血反应发生的原因。</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密闭式周围静脉输液及输血操作评分标准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实验10：</w:t>
            </w:r>
            <w:r>
              <w:rPr>
                <w:rFonts w:hint="eastAsia"/>
              </w:rPr>
              <w:t>冷疗法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知道冷疗法的目的、方法及注意事项；</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明确冷疗法的操作流程；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运用冷疗法为患者实施降温。</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按照护理程序正确、熟练地给患者实施冷疗法；</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操作过程中能够根据患者的病情、文化程度、心理状态做出合理的解释，顾及患者的隐私及感受，表现出良好的沟通技巧和共情能力。</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知道影响冷、热疗法的因素及冷湿敷法，明确冷、热疗法的目的、效应及湿热疗法；理解冷、热疗法的禁忌。</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tabs>
                <w:tab w:val="center" w:pos="4030"/>
              </w:tabs>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乙醇拭浴操作评分标准</w:t>
            </w:r>
            <w:r>
              <w:rPr>
                <w:rFonts w:cs="Arial" w:asciiTheme="minorEastAsia" w:hAnsiTheme="minorEastAsia" w:eastAsiaTheme="minorEastAsia"/>
                <w:bCs/>
                <w:sz w:val="21"/>
                <w:szCs w:val="21"/>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实验11：</w:t>
            </w:r>
            <w:r>
              <w:rPr>
                <w:rFonts w:hint="eastAsia"/>
              </w:rPr>
              <w:t>标本采集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知道标本采集的目的、方法及注意事项；</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明确标本采集的操作流程；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运用标本采集法为患者采集标本。</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按照护理程序正确、熟练地给患者实施标本采集；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操作过程中能够做好解释沟通工作，取得患者配合。</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知道标本采集的意义、各种标本采集的目的；明确标本采集的原则、各种标本采集的注意事项、留取尿标本常用防腐剂的种类、作用与方法。</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可以阐述不同标本采集的操作流程。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实验12：</w:t>
            </w:r>
            <w:r>
              <w:rPr>
                <w:rFonts w:hint="eastAsia"/>
              </w:rPr>
              <w:t>洗胃法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知道洗胃的目的、注意事项及常用洗胃液；</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明确电动洗胃机洗胃操作流程；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运用洗胃技术为患者进行洗胃并能及时处理洗胃过程中出现的意外情况。</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按照护理程序正确、熟练地给患者实施洗胃；</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操作过程中能够根据患者的病情、文化程度、心理状态做出合理的解释，顾及患者的隐私及感受，表现出良好的沟通技巧和对患者的责任心、爱心及同理心。</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知道各种洗胃的原理；明确抢救工作的组织管理与抢救设备的管理要点、病情观察的方法和内容；运用危重病人的支持性护理措施；理解常见抢救技术的注意事项。</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洗胃技术操作评分标准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实验13：</w:t>
            </w:r>
            <w:r>
              <w:rPr>
                <w:rFonts w:hint="eastAsia"/>
              </w:rPr>
              <w:t>尸体护理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知道尸体护理的目的、方法及注意事项；</w:t>
            </w:r>
          </w:p>
          <w:p>
            <w:pPr>
              <w:widowControl w:val="0"/>
              <w:snapToGrid w:val="0"/>
              <w:jc w:val="left"/>
              <w:rPr>
                <w:rFonts w:cs="Arial" w:asciiTheme="minorEastAsia" w:hAnsiTheme="minorEastAsia" w:eastAsiaTheme="minorEastAsia"/>
                <w:bCs/>
                <w:sz w:val="21"/>
                <w:szCs w:val="21"/>
              </w:rPr>
            </w:pPr>
            <w:r>
              <w:rPr>
                <w:rFonts w:cs="Arial" w:asciiTheme="minorEastAsia" w:hAnsiTheme="minorEastAsia" w:eastAsiaTheme="minorEastAsia"/>
                <w:bCs/>
                <w:sz w:val="21"/>
                <w:szCs w:val="21"/>
              </w:rPr>
              <w:t>2.</w:t>
            </w:r>
            <w:r>
              <w:rPr>
                <w:rFonts w:hint="eastAsia" w:cs="Arial" w:asciiTheme="minorEastAsia" w:hAnsiTheme="minorEastAsia" w:eastAsiaTheme="minorEastAsia"/>
                <w:bCs/>
                <w:sz w:val="21"/>
                <w:szCs w:val="21"/>
              </w:rPr>
              <w:t>明确尸体护理的操作流程；</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3</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运用尸体护理操作技术。</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按照护理程序正确、熟练地给死者实施尸体护理；</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操作过程中严肃、认真，保护死者隐私。</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知道临终关怀的发展过程、安乐死、死亡教育；明确濒死、死亡的定义、临终病人家属及丧亲者护理，脑死亡的判断标准，死亡过程的分期，理解临终病人的生理心理变化及护理要点。</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尸体护理操作评分标准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实验14：</w:t>
            </w:r>
            <w:r>
              <w:rPr>
                <w:rFonts w:hint="eastAsia"/>
              </w:rPr>
              <w:t>医疗与护理文件记录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目标要求及内容：</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知道医疗与护理文件记录的目的、方法及注意事项。</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知识与技能要求：</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按照要求正确、熟练地记录医疗与护理文件；</w:t>
            </w:r>
          </w:p>
          <w:p>
            <w:pPr>
              <w:widowControl w:val="0"/>
              <w:snapToGrid w:val="0"/>
              <w:jc w:val="left"/>
              <w:rPr>
                <w:rFonts w:cs="Arial" w:asciiTheme="minorEastAsia" w:hAnsiTheme="minorEastAsia" w:eastAsiaTheme="minorEastAsia"/>
                <w:bCs/>
                <w:sz w:val="21"/>
                <w:szCs w:val="21"/>
              </w:rPr>
            </w:pPr>
            <w:r>
              <w:rPr>
                <w:rFonts w:hint="eastAsia" w:cs="Arial" w:asciiTheme="minorEastAsia" w:hAnsiTheme="minorEastAsia" w:eastAsiaTheme="minorEastAsia"/>
                <w:b/>
                <w:sz w:val="21"/>
                <w:szCs w:val="21"/>
              </w:rPr>
              <w:t>2</w:t>
            </w:r>
            <w:r>
              <w:rPr>
                <w:rFonts w:cs="Arial" w:asciiTheme="minorEastAsia" w:hAnsiTheme="minorEastAsia" w:eastAsiaTheme="minorEastAsia"/>
                <w:b/>
                <w:sz w:val="21"/>
                <w:szCs w:val="21"/>
              </w:rPr>
              <w:t>.</w:t>
            </w:r>
            <w:r>
              <w:rPr>
                <w:rFonts w:hint="eastAsia" w:cs="Arial" w:asciiTheme="minorEastAsia" w:hAnsiTheme="minorEastAsia" w:eastAsiaTheme="minorEastAsia"/>
                <w:bCs/>
                <w:sz w:val="21"/>
                <w:szCs w:val="21"/>
              </w:rPr>
              <w:t>具有严谨、慎独的护理工作态度。</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理论知识点：</w:t>
            </w:r>
          </w:p>
          <w:p>
            <w:pPr>
              <w:widowControl w:val="0"/>
              <w:snapToGrid w:val="0"/>
              <w:jc w:val="left"/>
              <w:rPr>
                <w:rFonts w:hint="eastAsia"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知道医疗与护理文件记录的意义；明确医疗与护理文件书写的原则及管理要求、病区交班报告书写要求、住院病历及出院病历的正确排序、不同种类医嘱的概念、各类医嘱的处理方法及注意事项、出入液量记录内容、特别护理记录单的记录要求、病区交班报告书写顺序。</w:t>
            </w:r>
          </w:p>
          <w:p>
            <w:pPr>
              <w:widowControl w:val="0"/>
              <w:snapToGrid w:val="0"/>
              <w:jc w:val="left"/>
              <w:rPr>
                <w:rFonts w:cs="Arial" w:asciiTheme="minorEastAsia" w:hAnsiTheme="minorEastAsia" w:eastAsiaTheme="minorEastAsia"/>
                <w:b/>
                <w:sz w:val="21"/>
                <w:szCs w:val="21"/>
              </w:rPr>
            </w:pPr>
            <w:r>
              <w:rPr>
                <w:rFonts w:hint="eastAsia" w:cs="Arial" w:asciiTheme="minorEastAsia" w:hAnsiTheme="minorEastAsia" w:eastAsiaTheme="minorEastAsia"/>
                <w:b/>
                <w:sz w:val="21"/>
                <w:szCs w:val="21"/>
              </w:rPr>
              <w:t>评价标准：</w:t>
            </w:r>
          </w:p>
          <w:p>
            <w:pPr>
              <w:widowControl w:val="0"/>
              <w:snapToGrid w:val="0"/>
              <w:jc w:val="left"/>
              <w:rPr>
                <w:rFonts w:cs="仿宋"/>
                <w:bCs/>
                <w:color w:val="000000"/>
                <w:szCs w:val="21"/>
              </w:rPr>
            </w:pPr>
            <w:r>
              <w:rPr>
                <w:rFonts w:hint="eastAsia" w:cs="Arial" w:asciiTheme="minorEastAsia" w:hAnsiTheme="minorEastAsia" w:eastAsiaTheme="minorEastAsia"/>
                <w:bCs/>
                <w:sz w:val="21"/>
                <w:szCs w:val="21"/>
              </w:rPr>
              <w:t>1</w:t>
            </w:r>
            <w:r>
              <w:rPr>
                <w:rFonts w:cs="Arial" w:asciiTheme="minorEastAsia" w:hAnsiTheme="minorEastAsia" w:eastAsiaTheme="minorEastAsia"/>
                <w:bCs/>
                <w:sz w:val="21"/>
                <w:szCs w:val="21"/>
              </w:rPr>
              <w:t>.</w:t>
            </w:r>
            <w:r>
              <w:rPr>
                <w:rFonts w:hint="eastAsia" w:cs="Arial" w:asciiTheme="minorEastAsia" w:hAnsiTheme="minorEastAsia" w:eastAsiaTheme="minorEastAsia"/>
                <w:bCs/>
                <w:sz w:val="21"/>
                <w:szCs w:val="21"/>
              </w:rPr>
              <w:t>可以阐述医疗与护理文件的记录。</w:t>
            </w:r>
          </w:p>
        </w:tc>
      </w:tr>
    </w:tbl>
    <w:p>
      <w:pPr>
        <w:pStyle w:val="17"/>
        <w:spacing w:before="163" w:after="163"/>
      </w:pPr>
      <w:r>
        <w:rPr>
          <w:rFonts w:hint="eastAsia"/>
        </w:rPr>
        <w:t>（三）各实验项目对课程目标的支撑关系</w:t>
      </w:r>
    </w:p>
    <w:bookmarkEnd w:id="0"/>
    <w:bookmarkEnd w:id="1"/>
    <w:tbl>
      <w:tblPr>
        <w:tblStyle w:val="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05"/>
        <w:gridCol w:w="1190"/>
        <w:gridCol w:w="1189"/>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611" w:type="dxa"/>
            <w:tcBorders>
              <w:top w:val="single" w:color="auto" w:sz="12" w:space="0"/>
              <w:left w:val="single" w:color="auto" w:sz="12" w:space="0"/>
              <w:tl2br w:val="single" w:color="auto" w:sz="4" w:space="0"/>
            </w:tcBorders>
          </w:tcPr>
          <w:p>
            <w:pPr>
              <w:pStyle w:val="13"/>
              <w:ind w:firstLine="489"/>
              <w:jc w:val="right"/>
              <w:rPr>
                <w:szCs w:val="16"/>
              </w:rPr>
            </w:pPr>
            <w:bookmarkStart w:id="2" w:name="OLE_LINK3"/>
            <w:bookmarkStart w:id="3" w:name="OLE_LINK4"/>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189" w:type="dxa"/>
            <w:tcBorders>
              <w:top w:val="single" w:color="auto" w:sz="12" w:space="0"/>
            </w:tcBorders>
            <w:vAlign w:val="center"/>
          </w:tcPr>
          <w:p>
            <w:pPr>
              <w:pStyle w:val="13"/>
              <w:rPr>
                <w:szCs w:val="16"/>
              </w:rPr>
            </w:pPr>
            <w:r>
              <w:rPr>
                <w:rFonts w:hint="eastAsia"/>
                <w:szCs w:val="16"/>
              </w:rPr>
              <w:t>1</w:t>
            </w:r>
          </w:p>
        </w:tc>
        <w:tc>
          <w:tcPr>
            <w:tcW w:w="1188" w:type="dxa"/>
            <w:tcBorders>
              <w:top w:val="single" w:color="auto" w:sz="12" w:space="0"/>
            </w:tcBorders>
            <w:vAlign w:val="center"/>
          </w:tcPr>
          <w:p>
            <w:pPr>
              <w:pStyle w:val="13"/>
              <w:rPr>
                <w:szCs w:val="16"/>
              </w:rPr>
            </w:pPr>
            <w:r>
              <w:rPr>
                <w:rFonts w:hint="eastAsia"/>
                <w:szCs w:val="16"/>
              </w:rPr>
              <w:t>2</w:t>
            </w:r>
          </w:p>
        </w:tc>
        <w:tc>
          <w:tcPr>
            <w:tcW w:w="1188" w:type="dxa"/>
            <w:tcBorders>
              <w:top w:val="single" w:color="auto" w:sz="12" w:space="0"/>
            </w:tcBorders>
            <w:vAlign w:val="center"/>
          </w:tcPr>
          <w:p>
            <w:pPr>
              <w:pStyle w:val="13"/>
              <w:rPr>
                <w:szCs w:val="16"/>
              </w:rPr>
            </w:pPr>
            <w:r>
              <w:rPr>
                <w:rFonts w:hint="eastAsia"/>
                <w:szCs w:val="16"/>
              </w:rPr>
              <w:t>3</w:t>
            </w:r>
          </w:p>
        </w:tc>
        <w:tc>
          <w:tcPr>
            <w:tcW w:w="1188" w:type="dxa"/>
            <w:tcBorders>
              <w:top w:val="single" w:color="auto" w:sz="12" w:space="0"/>
              <w:right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1</w:t>
            </w:r>
            <w:r>
              <w:t>.</w:t>
            </w:r>
            <w:r>
              <w:rPr>
                <w:rFonts w:hint="eastAsia"/>
              </w:rPr>
              <w:t>留置导尿术</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2</w:t>
            </w:r>
            <w:r>
              <w:t>.</w:t>
            </w:r>
            <w:r>
              <w:rPr>
                <w:rFonts w:hint="eastAsia"/>
              </w:rPr>
              <w:t>大量不保留灌肠法</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3</w:t>
            </w:r>
            <w:r>
              <w:t>.</w:t>
            </w:r>
            <w:r>
              <w:rPr>
                <w:rFonts w:hint="eastAsia"/>
              </w:rPr>
              <w:t>药液抽吸法</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4</w:t>
            </w:r>
            <w:r>
              <w:t>.</w:t>
            </w:r>
            <w:r>
              <w:rPr>
                <w:rFonts w:hint="eastAsia"/>
              </w:rPr>
              <w:t>皮下注射法</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5</w:t>
            </w:r>
            <w:r>
              <w:t>.</w:t>
            </w:r>
            <w:r>
              <w:rPr>
                <w:rFonts w:hint="eastAsia"/>
              </w:rPr>
              <w:t>肌内注射法</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6</w:t>
            </w:r>
            <w:r>
              <w:t>.</w:t>
            </w:r>
            <w:r>
              <w:rPr>
                <w:rFonts w:hint="eastAsia"/>
              </w:rPr>
              <w:t>静脉注射法</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7</w:t>
            </w:r>
            <w:r>
              <w:t>.</w:t>
            </w:r>
            <w:r>
              <w:rPr>
                <w:rFonts w:hint="eastAsia"/>
              </w:rPr>
              <w:t>青霉素过敏试验</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8</w:t>
            </w:r>
            <w:r>
              <w:t>.</w:t>
            </w:r>
            <w:r>
              <w:rPr>
                <w:rFonts w:hint="eastAsia"/>
              </w:rPr>
              <w:t>皮内注射法</w:t>
            </w:r>
          </w:p>
        </w:tc>
        <w:tc>
          <w:tcPr>
            <w:tcW w:w="1189"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vAlign w:val="center"/>
          </w:tcPr>
          <w:p>
            <w:pPr>
              <w:pStyle w:val="14"/>
              <w:rPr>
                <w:rFonts w:ascii="Lucida Console" w:hAnsi="Lucida Console"/>
              </w:rPr>
            </w:pPr>
            <w:r>
              <w:rPr>
                <w:rFonts w:ascii="Lucida Console" w:hAnsi="Lucida Console"/>
              </w:rPr>
              <w:t>√</w:t>
            </w:r>
          </w:p>
        </w:tc>
        <w:tc>
          <w:tcPr>
            <w:tcW w:w="1188" w:type="dxa"/>
            <w:tcBorders>
              <w:right w:val="single" w:color="auto" w:sz="12" w:space="0"/>
            </w:tcBorders>
            <w:vAlign w:val="center"/>
          </w:tcPr>
          <w:p>
            <w:pPr>
              <w:pStyle w:val="14"/>
              <w:rPr>
                <w:rFonts w:ascii="Lucida Console" w:hAnsi="Lucida Console"/>
              </w:rPr>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9</w:t>
            </w:r>
            <w:r>
              <w:t>.</w:t>
            </w:r>
            <w:r>
              <w:rPr>
                <w:rFonts w:hint="eastAsia"/>
              </w:rPr>
              <w:t>静脉输液及输血</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10</w:t>
            </w:r>
            <w:r>
              <w:t>.</w:t>
            </w:r>
            <w:r>
              <w:rPr>
                <w:rFonts w:hint="eastAsia"/>
              </w:rPr>
              <w:t>冷疗法</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11</w:t>
            </w:r>
            <w:r>
              <w:t>.</w:t>
            </w:r>
            <w:r>
              <w:rPr>
                <w:rFonts w:hint="eastAsia"/>
              </w:rPr>
              <w:t>标本采集</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p>
        </w:tc>
        <w:tc>
          <w:tcPr>
            <w:tcW w:w="1188"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12</w:t>
            </w:r>
            <w:r>
              <w:t>.</w:t>
            </w:r>
            <w:r>
              <w:rPr>
                <w:rFonts w:hint="eastAsia"/>
              </w:rPr>
              <w:t>洗胃法</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tcBorders>
            <w:vAlign w:val="center"/>
          </w:tcPr>
          <w:p>
            <w:pPr>
              <w:pStyle w:val="14"/>
              <w:jc w:val="both"/>
            </w:pPr>
            <w:r>
              <w:rPr>
                <w:rFonts w:hint="eastAsia"/>
              </w:rPr>
              <w:t>13</w:t>
            </w:r>
            <w:r>
              <w:t>.</w:t>
            </w:r>
            <w:r>
              <w:rPr>
                <w:rFonts w:hint="eastAsia"/>
              </w:rPr>
              <w:t>尸体护理</w:t>
            </w:r>
          </w:p>
        </w:tc>
        <w:tc>
          <w:tcPr>
            <w:tcW w:w="1189" w:type="dxa"/>
            <w:vAlign w:val="center"/>
          </w:tcPr>
          <w:p>
            <w:pPr>
              <w:pStyle w:val="14"/>
            </w:pPr>
            <w:r>
              <w:rPr>
                <w:rFonts w:ascii="Lucida Console" w:hAnsi="Lucida Console"/>
              </w:rPr>
              <w:t>√</w:t>
            </w:r>
          </w:p>
        </w:tc>
        <w:tc>
          <w:tcPr>
            <w:tcW w:w="1188" w:type="dxa"/>
            <w:vAlign w:val="center"/>
          </w:tcPr>
          <w:p>
            <w:pPr>
              <w:pStyle w:val="14"/>
            </w:pPr>
            <w:r>
              <w:rPr>
                <w:rFonts w:ascii="Lucida Console" w:hAnsi="Lucida Console"/>
              </w:rPr>
              <w:t>√</w:t>
            </w:r>
          </w:p>
        </w:tc>
        <w:tc>
          <w:tcPr>
            <w:tcW w:w="1188" w:type="dxa"/>
            <w:vAlign w:val="center"/>
          </w:tcPr>
          <w:p>
            <w:pPr>
              <w:pStyle w:val="14"/>
            </w:pPr>
          </w:p>
        </w:tc>
        <w:tc>
          <w:tcPr>
            <w:tcW w:w="1188"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1" w:type="dxa"/>
            <w:tcBorders>
              <w:left w:val="single" w:color="auto" w:sz="12" w:space="0"/>
              <w:bottom w:val="single" w:color="auto" w:sz="12" w:space="0"/>
            </w:tcBorders>
            <w:vAlign w:val="center"/>
          </w:tcPr>
          <w:p>
            <w:pPr>
              <w:pStyle w:val="14"/>
              <w:jc w:val="both"/>
            </w:pPr>
            <w:r>
              <w:rPr>
                <w:rFonts w:hint="eastAsia"/>
              </w:rPr>
              <w:t>14</w:t>
            </w:r>
            <w:r>
              <w:t>.</w:t>
            </w:r>
            <w:r>
              <w:rPr>
                <w:rFonts w:hint="eastAsia"/>
              </w:rPr>
              <w:t>医疗与护理文件记录</w:t>
            </w:r>
          </w:p>
        </w:tc>
        <w:tc>
          <w:tcPr>
            <w:tcW w:w="1189" w:type="dxa"/>
            <w:tcBorders>
              <w:bottom w:val="single" w:color="auto" w:sz="12" w:space="0"/>
            </w:tcBorders>
            <w:vAlign w:val="center"/>
          </w:tcPr>
          <w:p>
            <w:pPr>
              <w:pStyle w:val="14"/>
            </w:pPr>
            <w:r>
              <w:rPr>
                <w:rFonts w:ascii="Lucida Console" w:hAnsi="Lucida Console"/>
              </w:rPr>
              <w:t>√</w:t>
            </w:r>
          </w:p>
        </w:tc>
        <w:tc>
          <w:tcPr>
            <w:tcW w:w="1188" w:type="dxa"/>
            <w:tcBorders>
              <w:bottom w:val="single" w:color="auto" w:sz="12" w:space="0"/>
            </w:tcBorders>
            <w:vAlign w:val="center"/>
          </w:tcPr>
          <w:p>
            <w:pPr>
              <w:pStyle w:val="14"/>
            </w:pPr>
          </w:p>
        </w:tc>
        <w:tc>
          <w:tcPr>
            <w:tcW w:w="1188" w:type="dxa"/>
            <w:tcBorders>
              <w:bottom w:val="single" w:color="auto" w:sz="12" w:space="0"/>
            </w:tcBorders>
            <w:vAlign w:val="center"/>
          </w:tcPr>
          <w:p>
            <w:pPr>
              <w:pStyle w:val="14"/>
            </w:pPr>
          </w:p>
        </w:tc>
        <w:tc>
          <w:tcPr>
            <w:tcW w:w="1188" w:type="dxa"/>
            <w:tcBorders>
              <w:bottom w:val="single" w:color="auto" w:sz="12" w:space="0"/>
              <w:right w:val="single" w:color="auto" w:sz="12" w:space="0"/>
            </w:tcBorders>
            <w:vAlign w:val="center"/>
          </w:tcPr>
          <w:p>
            <w:pPr>
              <w:pStyle w:val="14"/>
            </w:pPr>
          </w:p>
        </w:tc>
      </w:tr>
    </w:tbl>
    <w:p>
      <w:pPr>
        <w:pStyle w:val="16"/>
        <w:spacing w:before="326" w:beforeLines="100" w:line="360" w:lineRule="auto"/>
        <w:rPr>
          <w:rFonts w:hint="eastAsia"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pPr>
              <w:pStyle w:val="14"/>
              <w:widowControl w:val="0"/>
              <w:rPr>
                <w:rFonts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10"/>
              <w:gridCol w:w="2693"/>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tcPr>
                <w:p>
                  <w:pPr>
                    <w:pStyle w:val="14"/>
                    <w:widowControl w:val="0"/>
                    <w:rPr>
                      <w:rFonts w:ascii="宋体" w:hAnsi="宋体"/>
                      <w:bCs/>
                    </w:rPr>
                  </w:pPr>
                  <w:r>
                    <w:rPr>
                      <w:rFonts w:hint="eastAsia" w:ascii="宋体" w:hAnsi="宋体"/>
                      <w:bCs/>
                    </w:rPr>
                    <w:t>序号</w:t>
                  </w:r>
                </w:p>
              </w:tc>
              <w:tc>
                <w:tcPr>
                  <w:tcW w:w="2410" w:type="dxa"/>
                </w:tcPr>
                <w:p>
                  <w:pPr>
                    <w:pStyle w:val="14"/>
                    <w:widowControl w:val="0"/>
                    <w:rPr>
                      <w:rFonts w:ascii="宋体" w:hAnsi="宋体"/>
                      <w:bCs/>
                    </w:rPr>
                  </w:pPr>
                  <w:r>
                    <w:rPr>
                      <w:rFonts w:hint="eastAsia" w:ascii="宋体" w:hAnsi="宋体"/>
                      <w:bCs/>
                    </w:rPr>
                    <w:t>课程学习任务</w:t>
                  </w:r>
                </w:p>
              </w:tc>
              <w:tc>
                <w:tcPr>
                  <w:tcW w:w="2693" w:type="dxa"/>
                </w:tcPr>
                <w:p>
                  <w:pPr>
                    <w:pStyle w:val="14"/>
                    <w:widowControl w:val="0"/>
                    <w:rPr>
                      <w:rFonts w:ascii="宋体" w:hAnsi="宋体"/>
                      <w:bCs/>
                    </w:rPr>
                  </w:pPr>
                  <w:r>
                    <w:rPr>
                      <w:rFonts w:hint="eastAsia" w:ascii="宋体" w:hAnsi="宋体"/>
                      <w:bCs/>
                    </w:rPr>
                    <w:t>思政元素</w:t>
                  </w:r>
                </w:p>
              </w:tc>
              <w:tc>
                <w:tcPr>
                  <w:tcW w:w="2245" w:type="dxa"/>
                </w:tcPr>
                <w:p>
                  <w:pPr>
                    <w:pStyle w:val="14"/>
                    <w:widowControl w:val="0"/>
                    <w:rPr>
                      <w:rFonts w:ascii="宋体" w:hAnsi="宋体"/>
                      <w:bCs/>
                    </w:rPr>
                  </w:pPr>
                  <w:r>
                    <w:rPr>
                      <w:rFonts w:hint="eastAsia" w:ascii="宋体" w:hAnsi="宋体"/>
                      <w:bCs/>
                    </w:rPr>
                    <w:t>课程思政融入点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8</w:t>
                  </w:r>
                </w:p>
              </w:tc>
              <w:tc>
                <w:tcPr>
                  <w:tcW w:w="2410" w:type="dxa"/>
                  <w:vAlign w:val="center"/>
                </w:tcPr>
                <w:p>
                  <w:pPr>
                    <w:pStyle w:val="14"/>
                    <w:widowControl w:val="0"/>
                    <w:jc w:val="both"/>
                    <w:rPr>
                      <w:rFonts w:ascii="宋体" w:hAnsi="宋体"/>
                      <w:bCs/>
                    </w:rPr>
                  </w:pPr>
                  <w:r>
                    <w:rPr>
                      <w:rFonts w:hint="eastAsia"/>
                    </w:rPr>
                    <w:t>排泄护理</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具有严谨求实的工作态度，严格执行无菌操作和查对制度；保护病人的隐私；关心体贴病人，操作动作轻柔，减轻疼痛，保证病人安全。</w:t>
                  </w:r>
                </w:p>
              </w:tc>
              <w:tc>
                <w:tcPr>
                  <w:tcW w:w="2245" w:type="dxa"/>
                </w:tcPr>
                <w:p>
                  <w:pPr>
                    <w:pStyle w:val="14"/>
                    <w:widowControl w:val="0"/>
                    <w:jc w:val="both"/>
                    <w:rPr>
                      <w:rFonts w:ascii="宋体" w:hAnsi="宋体"/>
                      <w:bCs/>
                    </w:rPr>
                  </w:pPr>
                  <w:r>
                    <w:rPr>
                      <w:rFonts w:hint="eastAsia" w:ascii="宋体" w:hAnsi="宋体"/>
                      <w:bCs/>
                    </w:rPr>
                    <w:t>通过讲述目前我国进入老龄化社会的形势，部分疾病可能导致老年人需要进行相关排泄护理，从而引入相关思政元素。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9</w:t>
                  </w:r>
                </w:p>
              </w:tc>
              <w:tc>
                <w:tcPr>
                  <w:tcW w:w="2410" w:type="dxa"/>
                  <w:vAlign w:val="center"/>
                </w:tcPr>
                <w:p>
                  <w:pPr>
                    <w:pStyle w:val="14"/>
                    <w:widowControl w:val="0"/>
                    <w:jc w:val="both"/>
                    <w:rPr>
                      <w:rFonts w:ascii="宋体" w:hAnsi="宋体"/>
                      <w:bCs/>
                    </w:rPr>
                  </w:pPr>
                  <w:r>
                    <w:rPr>
                      <w:rFonts w:hint="eastAsia"/>
                    </w:rPr>
                    <w:t>药物疗法与过敏试验法</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具有严谨求实的工作态度，严格执行无菌操作和查对制度，对病人关心体贴确保药疗安全。</w:t>
                  </w:r>
                </w:p>
              </w:tc>
              <w:tc>
                <w:tcPr>
                  <w:tcW w:w="2245" w:type="dxa"/>
                </w:tcPr>
                <w:p>
                  <w:pPr>
                    <w:pStyle w:val="14"/>
                    <w:widowControl w:val="0"/>
                    <w:jc w:val="both"/>
                    <w:rPr>
                      <w:rFonts w:ascii="宋体" w:hAnsi="宋体"/>
                      <w:bCs/>
                    </w:rPr>
                  </w:pPr>
                  <w:r>
                    <w:rPr>
                      <w:rFonts w:hint="eastAsia" w:ascii="宋体" w:hAnsi="宋体"/>
                      <w:bCs/>
                    </w:rPr>
                    <w:t>通过讲述一例临床青霉素过敏案例，强调在药疗及过敏试验中查对制度及病情观察的重要性。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0</w:t>
                  </w:r>
                </w:p>
              </w:tc>
              <w:tc>
                <w:tcPr>
                  <w:tcW w:w="2410" w:type="dxa"/>
                  <w:vAlign w:val="center"/>
                </w:tcPr>
                <w:p>
                  <w:pPr>
                    <w:pStyle w:val="14"/>
                    <w:widowControl w:val="0"/>
                    <w:jc w:val="both"/>
                    <w:rPr>
                      <w:rFonts w:ascii="宋体" w:hAnsi="宋体"/>
                      <w:bCs/>
                    </w:rPr>
                  </w:pPr>
                  <w:r>
                    <w:rPr>
                      <w:rFonts w:hint="eastAsia"/>
                    </w:rPr>
                    <w:t>静脉输液和输血</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具有严谨求实的工作态度，严格执行无菌操作和查对制度，对病人关心体贴确保药疗安全。</w:t>
                  </w:r>
                </w:p>
              </w:tc>
              <w:tc>
                <w:tcPr>
                  <w:tcW w:w="2245" w:type="dxa"/>
                </w:tcPr>
                <w:p>
                  <w:pPr>
                    <w:pStyle w:val="14"/>
                    <w:widowControl w:val="0"/>
                    <w:jc w:val="both"/>
                    <w:rPr>
                      <w:rFonts w:ascii="宋体" w:hAnsi="宋体"/>
                      <w:bCs/>
                    </w:rPr>
                  </w:pPr>
                  <w:r>
                    <w:rPr>
                      <w:rFonts w:hint="eastAsia" w:ascii="Arial" w:hAnsi="Arial" w:cs="Arial"/>
                      <w:color w:val="191919"/>
                      <w:shd w:val="clear" w:color="auto" w:fill="FFFFFF"/>
                    </w:rPr>
                    <w:t>讲述2</w:t>
                  </w:r>
                  <w:r>
                    <w:rPr>
                      <w:rFonts w:ascii="Arial" w:hAnsi="Arial" w:cs="Arial"/>
                      <w:color w:val="191919"/>
                      <w:shd w:val="clear" w:color="auto" w:fill="FFFFFF"/>
                    </w:rPr>
                    <w:t>019</w:t>
                  </w:r>
                  <w:r>
                    <w:rPr>
                      <w:rFonts w:hint="eastAsia" w:ascii="Arial" w:hAnsi="Arial" w:cs="Arial"/>
                      <w:color w:val="191919"/>
                      <w:shd w:val="clear" w:color="auto" w:fill="FFFFFF"/>
                    </w:rPr>
                    <w:t>年</w:t>
                  </w:r>
                  <w:r>
                    <w:rPr>
                      <w:rFonts w:ascii="Arial" w:hAnsi="Arial" w:cs="Arial"/>
                      <w:color w:val="191919"/>
                      <w:shd w:val="clear" w:color="auto" w:fill="FFFFFF"/>
                    </w:rPr>
                    <w:t>广州市中西医结合医院寻找B型“熊猫血”</w:t>
                  </w:r>
                  <w:r>
                    <w:rPr>
                      <w:rFonts w:hint="eastAsia" w:ascii="Arial" w:hAnsi="Arial" w:cs="Arial"/>
                      <w:color w:val="191919"/>
                      <w:shd w:val="clear" w:color="auto" w:fill="FFFFFF"/>
                    </w:rPr>
                    <w:t>事件引入本章节思政元素。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1</w:t>
                  </w:r>
                </w:p>
              </w:tc>
              <w:tc>
                <w:tcPr>
                  <w:tcW w:w="2410" w:type="dxa"/>
                  <w:vAlign w:val="center"/>
                </w:tcPr>
                <w:p>
                  <w:pPr>
                    <w:pStyle w:val="14"/>
                    <w:widowControl w:val="0"/>
                    <w:jc w:val="both"/>
                    <w:rPr>
                      <w:rFonts w:ascii="宋体" w:hAnsi="宋体"/>
                      <w:bCs/>
                    </w:rPr>
                  </w:pPr>
                  <w:r>
                    <w:rPr>
                      <w:rFonts w:hint="eastAsia"/>
                    </w:rPr>
                    <w:t>冷热疗法</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具有严谨求实的工作态度，对病人关心体贴确保药疗安全。</w:t>
                  </w:r>
                </w:p>
              </w:tc>
              <w:tc>
                <w:tcPr>
                  <w:tcW w:w="2245" w:type="dxa"/>
                </w:tcPr>
                <w:p>
                  <w:pPr>
                    <w:pStyle w:val="14"/>
                    <w:widowControl w:val="0"/>
                    <w:jc w:val="both"/>
                    <w:rPr>
                      <w:rFonts w:ascii="宋体" w:hAnsi="宋体"/>
                      <w:bCs/>
                    </w:rPr>
                  </w:pPr>
                  <w:r>
                    <w:rPr>
                      <w:rFonts w:hint="eastAsia" w:ascii="宋体" w:hAnsi="宋体"/>
                      <w:bCs/>
                    </w:rPr>
                    <w:t>通过讲述一例临床热疗护理事故，强调临床工作中严谨求实的工作态度、对病人关心体贴的重要性。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2</w:t>
                  </w:r>
                </w:p>
              </w:tc>
              <w:tc>
                <w:tcPr>
                  <w:tcW w:w="2410" w:type="dxa"/>
                  <w:vAlign w:val="center"/>
                </w:tcPr>
                <w:p>
                  <w:pPr>
                    <w:pStyle w:val="14"/>
                    <w:widowControl w:val="0"/>
                    <w:jc w:val="both"/>
                    <w:rPr>
                      <w:rFonts w:ascii="宋体" w:hAnsi="宋体"/>
                      <w:bCs/>
                    </w:rPr>
                  </w:pPr>
                  <w:r>
                    <w:rPr>
                      <w:rFonts w:hint="eastAsia"/>
                    </w:rPr>
                    <w:t>标本采集</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具有严谨求实的工作态度，操作规范，方法正确。</w:t>
                  </w:r>
                </w:p>
              </w:tc>
              <w:tc>
                <w:tcPr>
                  <w:tcW w:w="2245" w:type="dxa"/>
                </w:tcPr>
                <w:p>
                  <w:pPr>
                    <w:pStyle w:val="14"/>
                    <w:widowControl w:val="0"/>
                    <w:jc w:val="both"/>
                    <w:rPr>
                      <w:rFonts w:ascii="宋体" w:hAnsi="宋体"/>
                      <w:bCs/>
                    </w:rPr>
                  </w:pPr>
                  <w:r>
                    <w:rPr>
                      <w:rFonts w:ascii="Calibri"/>
                      <w:kern w:val="2"/>
                    </w:rPr>
                    <w:t>当前HIV</w:t>
                  </w:r>
                  <w:r>
                    <w:rPr>
                      <w:rFonts w:hint="eastAsia" w:ascii="Calibri"/>
                      <w:kern w:val="2"/>
                    </w:rPr>
                    <w:t>发展形势严峻，可能会对医护人员产生威胁，医护人员应具有</w:t>
                  </w:r>
                  <w:r>
                    <w:rPr>
                      <w:rFonts w:hint="eastAsia" w:ascii="宋体" w:hAnsi="宋体"/>
                      <w:bCs/>
                    </w:rPr>
                    <w:t>严谨求实的工作态度，操作规范，既防止病人间交叉感染，又可做好自身职业防护</w:t>
                  </w:r>
                  <w:r>
                    <w:rPr>
                      <w:rFonts w:ascii="Calibri" w:hAnsi="Calibri"/>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3</w:t>
                  </w:r>
                </w:p>
              </w:tc>
              <w:tc>
                <w:tcPr>
                  <w:tcW w:w="2410" w:type="dxa"/>
                  <w:vAlign w:val="center"/>
                </w:tcPr>
                <w:p>
                  <w:pPr>
                    <w:pStyle w:val="14"/>
                    <w:widowControl w:val="0"/>
                    <w:jc w:val="both"/>
                    <w:rPr>
                      <w:rFonts w:ascii="宋体" w:hAnsi="宋体"/>
                      <w:bCs/>
                    </w:rPr>
                  </w:pPr>
                  <w:r>
                    <w:rPr>
                      <w:rFonts w:hint="eastAsia"/>
                    </w:rPr>
                    <w:t>病情观察和危重病人的抢救技术</w:t>
                  </w:r>
                </w:p>
              </w:tc>
              <w:tc>
                <w:tcPr>
                  <w:tcW w:w="2693" w:type="dxa"/>
                  <w:vAlign w:val="center"/>
                </w:tcPr>
                <w:p>
                  <w:pPr>
                    <w:pStyle w:val="14"/>
                    <w:widowControl w:val="0"/>
                    <w:jc w:val="both"/>
                    <w:rPr>
                      <w:rFonts w:ascii="宋体" w:hAnsi="宋体"/>
                      <w:bCs/>
                    </w:rPr>
                  </w:pPr>
                  <w:r>
                    <w:rPr>
                      <w:rFonts w:hint="eastAsia" w:ascii="宋体" w:hAnsi="宋体"/>
                      <w:bCs/>
                    </w:rPr>
                    <w:t>具有严谨求实的工作态度和抢救意识，动作轻柔、规范，关爱病人，抢救及时、高效。</w:t>
                  </w:r>
                </w:p>
              </w:tc>
              <w:tc>
                <w:tcPr>
                  <w:tcW w:w="2245" w:type="dxa"/>
                </w:tcPr>
                <w:p>
                  <w:pPr>
                    <w:pStyle w:val="14"/>
                    <w:widowControl w:val="0"/>
                    <w:jc w:val="both"/>
                    <w:rPr>
                      <w:rFonts w:ascii="宋体" w:hAnsi="宋体"/>
                      <w:bCs/>
                    </w:rPr>
                  </w:pPr>
                  <w:r>
                    <w:rPr>
                      <w:rFonts w:hint="eastAsia" w:ascii="宋体" w:hAnsi="宋体"/>
                      <w:bCs/>
                    </w:rPr>
                    <w:t>通过讲述2</w:t>
                  </w:r>
                  <w:r>
                    <w:rPr>
                      <w:rFonts w:ascii="宋体" w:hAnsi="宋体"/>
                      <w:bCs/>
                    </w:rPr>
                    <w:t>020</w:t>
                  </w:r>
                  <w:r>
                    <w:rPr>
                      <w:rFonts w:hint="eastAsia" w:ascii="宋体" w:hAnsi="宋体"/>
                      <w:bCs/>
                    </w:rPr>
                    <w:t>年武汉疫情爆发期间，感动中国“医”瞬间的相关案例，融入相应思政元素。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4</w:t>
                  </w:r>
                </w:p>
              </w:tc>
              <w:tc>
                <w:tcPr>
                  <w:tcW w:w="2410" w:type="dxa"/>
                  <w:vAlign w:val="center"/>
                </w:tcPr>
                <w:p>
                  <w:pPr>
                    <w:pStyle w:val="14"/>
                    <w:widowControl w:val="0"/>
                    <w:jc w:val="both"/>
                    <w:rPr>
                      <w:rFonts w:ascii="宋体" w:hAnsi="宋体"/>
                      <w:bCs/>
                    </w:rPr>
                  </w:pPr>
                  <w:r>
                    <w:rPr>
                      <w:rFonts w:hint="eastAsia"/>
                    </w:rPr>
                    <w:t>临终病人的护理</w:t>
                  </w:r>
                </w:p>
              </w:tc>
              <w:tc>
                <w:tcPr>
                  <w:tcW w:w="2693" w:type="dxa"/>
                  <w:vAlign w:val="center"/>
                </w:tcPr>
                <w:p>
                  <w:pPr>
                    <w:pStyle w:val="14"/>
                    <w:widowControl w:val="0"/>
                    <w:jc w:val="both"/>
                    <w:rPr>
                      <w:rFonts w:ascii="宋体" w:hAnsi="宋体"/>
                      <w:bCs/>
                    </w:rPr>
                  </w:pPr>
                  <w:r>
                    <w:rPr>
                      <w:rFonts w:hint="eastAsia" w:ascii="宋体" w:hAnsi="宋体"/>
                      <w:bCs/>
                    </w:rPr>
                    <w:t>具有崇高的职业道德，维护病人的尊严和权利。</w:t>
                  </w:r>
                </w:p>
              </w:tc>
              <w:tc>
                <w:tcPr>
                  <w:tcW w:w="2245" w:type="dxa"/>
                </w:tcPr>
                <w:p>
                  <w:pPr>
                    <w:pStyle w:val="14"/>
                    <w:widowControl w:val="0"/>
                    <w:jc w:val="both"/>
                    <w:rPr>
                      <w:rFonts w:ascii="宋体" w:hAnsi="宋体"/>
                      <w:bCs/>
                    </w:rPr>
                  </w:pPr>
                  <w:r>
                    <w:rPr>
                      <w:rFonts w:hint="eastAsia" w:ascii="宋体" w:hAnsi="宋体"/>
                      <w:bCs/>
                    </w:rPr>
                    <w:t>通过观看《人间世》医疗短视频，融入相关思政元素。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r>
                    <w:rPr>
                      <w:rFonts w:ascii="宋体" w:hAnsi="宋体"/>
                      <w:bCs/>
                    </w:rPr>
                    <w:t>5</w:t>
                  </w:r>
                </w:p>
              </w:tc>
              <w:tc>
                <w:tcPr>
                  <w:tcW w:w="2410" w:type="dxa"/>
                  <w:vAlign w:val="center"/>
                </w:tcPr>
                <w:p>
                  <w:pPr>
                    <w:pStyle w:val="14"/>
                    <w:widowControl w:val="0"/>
                    <w:jc w:val="both"/>
                    <w:rPr>
                      <w:rFonts w:ascii="宋体" w:hAnsi="宋体"/>
                      <w:bCs/>
                    </w:rPr>
                  </w:pPr>
                  <w:r>
                    <w:rPr>
                      <w:rFonts w:hint="eastAsia"/>
                    </w:rPr>
                    <w:t>医疗与护理文件记录</w:t>
                  </w:r>
                </w:p>
              </w:tc>
              <w:tc>
                <w:tcPr>
                  <w:tcW w:w="2693" w:type="dxa"/>
                  <w:vAlign w:val="center"/>
                </w:tcPr>
                <w:p>
                  <w:pPr>
                    <w:pStyle w:val="14"/>
                    <w:widowControl w:val="0"/>
                    <w:jc w:val="both"/>
                    <w:rPr>
                      <w:rFonts w:ascii="宋体" w:hAnsi="宋体"/>
                      <w:bCs/>
                    </w:rPr>
                  </w:pPr>
                  <w:r>
                    <w:rPr>
                      <w:rFonts w:hint="eastAsia" w:ascii="宋体" w:hAnsi="宋体"/>
                      <w:bCs/>
                    </w:rPr>
                    <w:t>具有严谨慎独的工作态度。</w:t>
                  </w:r>
                </w:p>
              </w:tc>
              <w:tc>
                <w:tcPr>
                  <w:tcW w:w="2245" w:type="dxa"/>
                </w:tcPr>
                <w:p>
                  <w:pPr>
                    <w:pStyle w:val="14"/>
                    <w:widowControl w:val="0"/>
                    <w:jc w:val="both"/>
                    <w:rPr>
                      <w:rFonts w:ascii="宋体" w:hAnsi="宋体"/>
                      <w:bCs/>
                    </w:rPr>
                  </w:pPr>
                  <w:r>
                    <w:rPr>
                      <w:rFonts w:hint="eastAsia" w:ascii="宋体" w:hAnsi="宋体"/>
                      <w:bCs/>
                    </w:rPr>
                    <w:t>讲述2</w:t>
                  </w:r>
                  <w:r>
                    <w:rPr>
                      <w:rFonts w:ascii="宋体" w:hAnsi="宋体"/>
                      <w:bCs/>
                    </w:rPr>
                    <w:t>018</w:t>
                  </w:r>
                  <w:r>
                    <w:rPr>
                      <w:rFonts w:hint="eastAsia" w:ascii="宋体" w:hAnsi="宋体"/>
                      <w:bCs/>
                    </w:rPr>
                    <w:t>年个别“写”出来的护理事故，向学生强调</w:t>
                  </w:r>
                  <w:r>
                    <w:rPr>
                      <w:rFonts w:hint="eastAsia"/>
                    </w:rPr>
                    <w:t>医疗与护理文件记录书写应具有</w:t>
                  </w:r>
                  <w:r>
                    <w:rPr>
                      <w:rFonts w:hint="eastAsia" w:ascii="宋体" w:hAnsi="宋体"/>
                      <w:bCs/>
                    </w:rPr>
                    <w:t>严谨慎独的工作态度</w:t>
                  </w:r>
                </w:p>
              </w:tc>
            </w:tr>
          </w:tbl>
          <w:p>
            <w:pPr>
              <w:widowControl w:val="0"/>
              <w:snapToGrid w:val="0"/>
              <w:jc w:val="left"/>
              <w:rPr>
                <w:rFonts w:cs="仿宋"/>
                <w:bCs/>
                <w:color w:val="000000"/>
                <w:szCs w:val="21"/>
              </w:rPr>
            </w:pPr>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19"/>
        <w:gridCol w:w="919"/>
        <w:gridCol w:w="919"/>
        <w:gridCol w:w="919"/>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6"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919"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w:t>
            </w:r>
            <w:r>
              <w:t>0%</w:t>
            </w:r>
          </w:p>
        </w:tc>
        <w:tc>
          <w:tcPr>
            <w:tcW w:w="2353" w:type="dxa"/>
            <w:tcBorders>
              <w:right w:val="double" w:color="auto" w:sz="4" w:space="0"/>
            </w:tcBorders>
            <w:vAlign w:val="center"/>
          </w:tcPr>
          <w:p>
            <w:pPr>
              <w:pStyle w:val="14"/>
              <w:widowControl w:val="0"/>
            </w:pPr>
            <w:r>
              <w:rPr>
                <w:rFonts w:hint="eastAsia"/>
              </w:rPr>
              <w:t>期末考试（闭卷）</w:t>
            </w:r>
          </w:p>
        </w:tc>
        <w:tc>
          <w:tcPr>
            <w:tcW w:w="919" w:type="dxa"/>
            <w:tcBorders>
              <w:left w:val="double" w:color="auto" w:sz="4" w:space="0"/>
            </w:tcBorders>
            <w:vAlign w:val="center"/>
          </w:tcPr>
          <w:p>
            <w:pPr>
              <w:pStyle w:val="14"/>
              <w:widowControl w:val="0"/>
            </w:pPr>
            <w:r>
              <w:rPr>
                <w:rFonts w:hint="eastAsia"/>
              </w:rPr>
              <w:t>5</w:t>
            </w:r>
            <w:r>
              <w:t>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操作考核</w:t>
            </w:r>
          </w:p>
        </w:tc>
        <w:tc>
          <w:tcPr>
            <w:tcW w:w="919" w:type="dxa"/>
            <w:tcBorders>
              <w:left w:val="double" w:color="auto" w:sz="4" w:space="0"/>
            </w:tcBorders>
            <w:vAlign w:val="center"/>
          </w:tcPr>
          <w:p>
            <w:pPr>
              <w:pStyle w:val="14"/>
              <w:widowControl w:val="0"/>
            </w:pPr>
            <w:r>
              <w:rPr>
                <w:rFonts w:hint="eastAsia"/>
              </w:rPr>
              <w:t>1</w:t>
            </w:r>
            <w:r>
              <w:t>0</w:t>
            </w:r>
          </w:p>
        </w:tc>
        <w:tc>
          <w:tcPr>
            <w:tcW w:w="919" w:type="dxa"/>
            <w:vAlign w:val="center"/>
          </w:tcPr>
          <w:p>
            <w:pPr>
              <w:pStyle w:val="14"/>
              <w:widowControl w:val="0"/>
            </w:pPr>
            <w:r>
              <w:rPr>
                <w:rFonts w:hint="eastAsia"/>
              </w:rPr>
              <w:t>6</w:t>
            </w:r>
            <w:r>
              <w:t>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w:t>
            </w:r>
            <w:r>
              <w:t>0%</w:t>
            </w:r>
          </w:p>
        </w:tc>
        <w:tc>
          <w:tcPr>
            <w:tcW w:w="2353" w:type="dxa"/>
            <w:tcBorders>
              <w:right w:val="double" w:color="auto" w:sz="4" w:space="0"/>
            </w:tcBorders>
            <w:vAlign w:val="center"/>
          </w:tcPr>
          <w:p>
            <w:pPr>
              <w:pStyle w:val="14"/>
              <w:widowControl w:val="0"/>
            </w:pPr>
            <w:r>
              <w:rPr>
                <w:rFonts w:hint="eastAsia"/>
              </w:rPr>
              <w:t>阶段测验</w:t>
            </w:r>
          </w:p>
        </w:tc>
        <w:tc>
          <w:tcPr>
            <w:tcW w:w="919" w:type="dxa"/>
            <w:tcBorders>
              <w:left w:val="double" w:color="auto" w:sz="4" w:space="0"/>
            </w:tcBorders>
            <w:vAlign w:val="center"/>
          </w:tcPr>
          <w:p>
            <w:pPr>
              <w:pStyle w:val="14"/>
              <w:widowControl w:val="0"/>
            </w:pPr>
            <w:r>
              <w:rPr>
                <w:rFonts w:hint="eastAsia"/>
              </w:rPr>
              <w:t>6</w:t>
            </w:r>
            <w:r>
              <w:t>0</w:t>
            </w:r>
          </w:p>
        </w:tc>
        <w:tc>
          <w:tcPr>
            <w:tcW w:w="919" w:type="dxa"/>
            <w:vAlign w:val="center"/>
          </w:tcPr>
          <w:p>
            <w:pPr>
              <w:pStyle w:val="14"/>
              <w:widowControl w:val="0"/>
            </w:pPr>
          </w:p>
        </w:tc>
        <w:tc>
          <w:tcPr>
            <w:tcW w:w="919" w:type="dxa"/>
            <w:vAlign w:val="center"/>
          </w:tcPr>
          <w:p>
            <w:pPr>
              <w:pStyle w:val="14"/>
              <w:widowControl w:val="0"/>
            </w:pPr>
            <w:r>
              <w:t>40</w:t>
            </w:r>
          </w:p>
        </w:tc>
        <w:tc>
          <w:tcPr>
            <w:tcW w:w="919"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pPr>
            <w:r>
              <w:rPr>
                <w:rFonts w:hint="eastAsia"/>
              </w:rPr>
              <w:t>1</w:t>
            </w:r>
            <w:r>
              <w:t>0%</w:t>
            </w:r>
          </w:p>
        </w:tc>
        <w:tc>
          <w:tcPr>
            <w:tcW w:w="2353" w:type="dxa"/>
            <w:tcBorders>
              <w:bottom w:val="single" w:color="auto" w:sz="12" w:space="0"/>
              <w:right w:val="double" w:color="auto" w:sz="4" w:space="0"/>
            </w:tcBorders>
            <w:vAlign w:val="center"/>
          </w:tcPr>
          <w:p>
            <w:pPr>
              <w:pStyle w:val="14"/>
              <w:widowControl w:val="0"/>
            </w:pPr>
            <w:r>
              <w:rPr>
                <w:rFonts w:hint="eastAsia"/>
              </w:rPr>
              <w:t>实训报告</w:t>
            </w:r>
          </w:p>
        </w:tc>
        <w:tc>
          <w:tcPr>
            <w:tcW w:w="919" w:type="dxa"/>
            <w:tcBorders>
              <w:left w:val="double" w:color="auto" w:sz="4" w:space="0"/>
              <w:bottom w:val="single" w:color="auto" w:sz="12" w:space="0"/>
            </w:tcBorders>
            <w:vAlign w:val="center"/>
          </w:tcPr>
          <w:p>
            <w:pPr>
              <w:pStyle w:val="14"/>
              <w:widowControl w:val="0"/>
            </w:pPr>
            <w:r>
              <w:t>20</w:t>
            </w:r>
          </w:p>
        </w:tc>
        <w:tc>
          <w:tcPr>
            <w:tcW w:w="919" w:type="dxa"/>
            <w:tcBorders>
              <w:bottom w:val="single" w:color="auto" w:sz="12" w:space="0"/>
            </w:tcBorders>
            <w:vAlign w:val="center"/>
          </w:tcPr>
          <w:p>
            <w:pPr>
              <w:pStyle w:val="14"/>
              <w:widowControl w:val="0"/>
            </w:pPr>
            <w:r>
              <w:rPr>
                <w:rFonts w:hint="eastAsia"/>
              </w:rPr>
              <w:t>5</w:t>
            </w:r>
            <w:r>
              <w:t>0</w:t>
            </w:r>
          </w:p>
        </w:tc>
        <w:tc>
          <w:tcPr>
            <w:tcW w:w="919" w:type="dxa"/>
            <w:tcBorders>
              <w:bottom w:val="single" w:color="auto" w:sz="12" w:space="0"/>
            </w:tcBorders>
            <w:vAlign w:val="center"/>
          </w:tcPr>
          <w:p>
            <w:pPr>
              <w:pStyle w:val="14"/>
              <w:widowControl w:val="0"/>
            </w:pPr>
            <w:r>
              <w:rPr>
                <w:rFonts w:hint="eastAsia"/>
              </w:rPr>
              <w:t>2</w:t>
            </w:r>
            <w:r>
              <w:t>0</w:t>
            </w:r>
          </w:p>
        </w:tc>
        <w:tc>
          <w:tcPr>
            <w:tcW w:w="919" w:type="dxa"/>
            <w:tcBorders>
              <w:bottom w:val="single" w:color="auto" w:sz="12" w:space="0"/>
            </w:tcBorders>
            <w:vAlign w:val="center"/>
          </w:tcPr>
          <w:p>
            <w:pPr>
              <w:pStyle w:val="14"/>
              <w:widowControl w:val="0"/>
            </w:pPr>
            <w:r>
              <w:t>10</w:t>
            </w: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14"/>
              <w:widowControl w:val="0"/>
              <w:jc w:val="both"/>
              <w:rPr>
                <w:rFonts w:ascii="Arial" w:hAnsi="Arial" w:eastAsia="黑体" w:cs="Arial"/>
                <w:bCs/>
                <w:color w:val="auto"/>
              </w:rPr>
            </w:pPr>
          </w:p>
        </w:tc>
        <w:tc>
          <w:tcPr>
            <w:tcW w:w="1403" w:type="dxa"/>
            <w:vAlign w:val="center"/>
          </w:tcPr>
          <w:p>
            <w:pPr>
              <w:pStyle w:val="6"/>
              <w:widowControl/>
              <w:shd w:val="clear" w:color="auto" w:fill="FFFFFF"/>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eastAsia="黑体" w:cs="Arial"/>
                <w:bCs/>
                <w:sz w:val="21"/>
                <w:szCs w:val="21"/>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widowControl w:val="0"/>
              <w:snapToGrid w:val="0"/>
              <w:jc w:val="left"/>
              <w:rPr>
                <w:rFonts w:ascii="Arial" w:hAnsi="Arial" w:eastAsia="黑体" w:cs="Arial"/>
                <w:bCs/>
                <w:sz w:val="21"/>
                <w:szCs w:val="21"/>
              </w:rPr>
            </w:pPr>
          </w:p>
          <w:p>
            <w:pPr>
              <w:widowControl w:val="0"/>
              <w:snapToGrid w:val="0"/>
              <w:jc w:val="left"/>
              <w:rPr>
                <w:rFonts w:ascii="Arial" w:hAnsi="Arial" w:eastAsia="黑体" w:cs="Arial"/>
                <w:bCs/>
                <w:sz w:val="21"/>
                <w:szCs w:val="21"/>
              </w:rPr>
            </w:pPr>
            <w:r>
              <w:rPr>
                <w:rFonts w:hint="eastAsia" w:ascii="Arial" w:hAnsi="Arial" w:eastAsia="黑体" w:cs="Arial"/>
                <w:bCs/>
                <w:sz w:val="21"/>
                <w:szCs w:val="21"/>
              </w:rPr>
              <w:t>无</w:t>
            </w:r>
          </w:p>
          <w:p>
            <w:pPr>
              <w:widowControl w:val="0"/>
              <w:snapToGrid w:val="0"/>
              <w:jc w:val="left"/>
              <w:rPr>
                <w:rFonts w:ascii="黑体"/>
              </w:rPr>
            </w:pPr>
          </w:p>
        </w:tc>
      </w:tr>
    </w:tbl>
    <w:p>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20"/>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SJQU-QR-JW-053（A0）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154DB"/>
    <w:rsid w:val="000201E8"/>
    <w:rsid w:val="000203E0"/>
    <w:rsid w:val="000210E0"/>
    <w:rsid w:val="00033082"/>
    <w:rsid w:val="0006001D"/>
    <w:rsid w:val="00065391"/>
    <w:rsid w:val="00065E8E"/>
    <w:rsid w:val="00066041"/>
    <w:rsid w:val="0007448A"/>
    <w:rsid w:val="00074B82"/>
    <w:rsid w:val="00075686"/>
    <w:rsid w:val="0008122A"/>
    <w:rsid w:val="000867DB"/>
    <w:rsid w:val="00087488"/>
    <w:rsid w:val="00091107"/>
    <w:rsid w:val="000A4E73"/>
    <w:rsid w:val="000B1BD2"/>
    <w:rsid w:val="000B396F"/>
    <w:rsid w:val="000C0F0D"/>
    <w:rsid w:val="000D28E5"/>
    <w:rsid w:val="000D34D7"/>
    <w:rsid w:val="000F3C15"/>
    <w:rsid w:val="00100633"/>
    <w:rsid w:val="001072BC"/>
    <w:rsid w:val="00114BD6"/>
    <w:rsid w:val="00130F6D"/>
    <w:rsid w:val="00142C42"/>
    <w:rsid w:val="00144082"/>
    <w:rsid w:val="00161059"/>
    <w:rsid w:val="00163A48"/>
    <w:rsid w:val="00164E36"/>
    <w:rsid w:val="00183AA1"/>
    <w:rsid w:val="001A135C"/>
    <w:rsid w:val="001B0D49"/>
    <w:rsid w:val="001B546F"/>
    <w:rsid w:val="001C2E3E"/>
    <w:rsid w:val="001C388D"/>
    <w:rsid w:val="001D0453"/>
    <w:rsid w:val="001D68EF"/>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D7FE2"/>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46E7"/>
    <w:rsid w:val="003557DE"/>
    <w:rsid w:val="00361BEB"/>
    <w:rsid w:val="00370184"/>
    <w:rsid w:val="00373C8A"/>
    <w:rsid w:val="00377C10"/>
    <w:rsid w:val="00384BA8"/>
    <w:rsid w:val="00385D41"/>
    <w:rsid w:val="003861BA"/>
    <w:rsid w:val="003A1680"/>
    <w:rsid w:val="003A373C"/>
    <w:rsid w:val="003A5874"/>
    <w:rsid w:val="003A6E88"/>
    <w:rsid w:val="003A79BB"/>
    <w:rsid w:val="003B1258"/>
    <w:rsid w:val="003B43FE"/>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44C35"/>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1D54"/>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A6CCD"/>
    <w:rsid w:val="005B1150"/>
    <w:rsid w:val="005B1FFC"/>
    <w:rsid w:val="005B2B6D"/>
    <w:rsid w:val="005B36F9"/>
    <w:rsid w:val="005B4B4E"/>
    <w:rsid w:val="005D5B6F"/>
    <w:rsid w:val="005E38A5"/>
    <w:rsid w:val="005F5185"/>
    <w:rsid w:val="006032F4"/>
    <w:rsid w:val="0062051C"/>
    <w:rsid w:val="0062115C"/>
    <w:rsid w:val="0062265B"/>
    <w:rsid w:val="00624B5C"/>
    <w:rsid w:val="00624FE1"/>
    <w:rsid w:val="0062577D"/>
    <w:rsid w:val="0063017C"/>
    <w:rsid w:val="006331EE"/>
    <w:rsid w:val="006355E6"/>
    <w:rsid w:val="00635C1E"/>
    <w:rsid w:val="00637E00"/>
    <w:rsid w:val="0065029B"/>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C6558"/>
    <w:rsid w:val="006D1B59"/>
    <w:rsid w:val="006D2F9C"/>
    <w:rsid w:val="006E5CA9"/>
    <w:rsid w:val="006E5E98"/>
    <w:rsid w:val="006F3151"/>
    <w:rsid w:val="007056DE"/>
    <w:rsid w:val="00706121"/>
    <w:rsid w:val="0070672B"/>
    <w:rsid w:val="00710B6B"/>
    <w:rsid w:val="00712A2C"/>
    <w:rsid w:val="00712E84"/>
    <w:rsid w:val="00714914"/>
    <w:rsid w:val="00720783"/>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5C7C"/>
    <w:rsid w:val="0083705D"/>
    <w:rsid w:val="0084242F"/>
    <w:rsid w:val="00853BE7"/>
    <w:rsid w:val="0087103B"/>
    <w:rsid w:val="00871DCB"/>
    <w:rsid w:val="008841A9"/>
    <w:rsid w:val="008901A2"/>
    <w:rsid w:val="00891A8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27476"/>
    <w:rsid w:val="00932ED7"/>
    <w:rsid w:val="00941B89"/>
    <w:rsid w:val="00941DEA"/>
    <w:rsid w:val="00942B9C"/>
    <w:rsid w:val="00962F5D"/>
    <w:rsid w:val="00970E8C"/>
    <w:rsid w:val="00971671"/>
    <w:rsid w:val="009830B2"/>
    <w:rsid w:val="0099063E"/>
    <w:rsid w:val="00992356"/>
    <w:rsid w:val="00994793"/>
    <w:rsid w:val="00996AE3"/>
    <w:rsid w:val="009A1E27"/>
    <w:rsid w:val="009A56A9"/>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528AD"/>
    <w:rsid w:val="00A70B93"/>
    <w:rsid w:val="00A769B1"/>
    <w:rsid w:val="00A77DA3"/>
    <w:rsid w:val="00A837D5"/>
    <w:rsid w:val="00A83E04"/>
    <w:rsid w:val="00A91091"/>
    <w:rsid w:val="00A93EE3"/>
    <w:rsid w:val="00A94117"/>
    <w:rsid w:val="00AA05A0"/>
    <w:rsid w:val="00AA4970"/>
    <w:rsid w:val="00AA536D"/>
    <w:rsid w:val="00AB22C0"/>
    <w:rsid w:val="00AC40F1"/>
    <w:rsid w:val="00AC4C45"/>
    <w:rsid w:val="00AD1085"/>
    <w:rsid w:val="00AD5B40"/>
    <w:rsid w:val="00AD5E5A"/>
    <w:rsid w:val="00AF30B9"/>
    <w:rsid w:val="00AF43DF"/>
    <w:rsid w:val="00AF67A4"/>
    <w:rsid w:val="00AF7510"/>
    <w:rsid w:val="00B12D31"/>
    <w:rsid w:val="00B15F6E"/>
    <w:rsid w:val="00B21BEE"/>
    <w:rsid w:val="00B23284"/>
    <w:rsid w:val="00B30157"/>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E24DC"/>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3A18"/>
    <w:rsid w:val="00C673D1"/>
    <w:rsid w:val="00C70DCF"/>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05C7F"/>
    <w:rsid w:val="00D15595"/>
    <w:rsid w:val="00D25F66"/>
    <w:rsid w:val="00D30D9C"/>
    <w:rsid w:val="00D435D5"/>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4D58"/>
    <w:rsid w:val="00E75171"/>
    <w:rsid w:val="00E85D57"/>
    <w:rsid w:val="00E86772"/>
    <w:rsid w:val="00E90B8B"/>
    <w:rsid w:val="00E93ADD"/>
    <w:rsid w:val="00E952D8"/>
    <w:rsid w:val="00EA1A0A"/>
    <w:rsid w:val="00EB00E4"/>
    <w:rsid w:val="00EB28DA"/>
    <w:rsid w:val="00EB3812"/>
    <w:rsid w:val="00EB44EB"/>
    <w:rsid w:val="00EB5464"/>
    <w:rsid w:val="00EB66B8"/>
    <w:rsid w:val="00EB791E"/>
    <w:rsid w:val="00EC70A9"/>
    <w:rsid w:val="00ED4C3A"/>
    <w:rsid w:val="00ED5492"/>
    <w:rsid w:val="00EE1C85"/>
    <w:rsid w:val="00EF21D9"/>
    <w:rsid w:val="00EF2A94"/>
    <w:rsid w:val="00EF32FB"/>
    <w:rsid w:val="00EF44B1"/>
    <w:rsid w:val="00EF4865"/>
    <w:rsid w:val="00EF72A9"/>
    <w:rsid w:val="00F100D2"/>
    <w:rsid w:val="00F12942"/>
    <w:rsid w:val="00F13E2F"/>
    <w:rsid w:val="00F14886"/>
    <w:rsid w:val="00F16421"/>
    <w:rsid w:val="00F201EE"/>
    <w:rsid w:val="00F20B5D"/>
    <w:rsid w:val="00F35AA0"/>
    <w:rsid w:val="00F43C49"/>
    <w:rsid w:val="00F45C12"/>
    <w:rsid w:val="00F544A2"/>
    <w:rsid w:val="00F64D6B"/>
    <w:rsid w:val="00F65F51"/>
    <w:rsid w:val="00F7322A"/>
    <w:rsid w:val="00F76CB9"/>
    <w:rsid w:val="00F77A73"/>
    <w:rsid w:val="00F96236"/>
    <w:rsid w:val="00F9663C"/>
    <w:rsid w:val="00FA10CE"/>
    <w:rsid w:val="00FA222F"/>
    <w:rsid w:val="00FA2891"/>
    <w:rsid w:val="00FB693D"/>
    <w:rsid w:val="00FB6E6D"/>
    <w:rsid w:val="00FB7768"/>
    <w:rsid w:val="00FC7489"/>
    <w:rsid w:val="00FD1BA8"/>
    <w:rsid w:val="00FD218F"/>
    <w:rsid w:val="00FD5663"/>
    <w:rsid w:val="00FD56C6"/>
    <w:rsid w:val="00FD6059"/>
    <w:rsid w:val="00FE3221"/>
    <w:rsid w:val="00FE571F"/>
    <w:rsid w:val="00FF47F6"/>
    <w:rsid w:val="016E63C2"/>
    <w:rsid w:val="024B0C39"/>
    <w:rsid w:val="0A8128A6"/>
    <w:rsid w:val="0BF32A1B"/>
    <w:rsid w:val="10BD2C22"/>
    <w:rsid w:val="11FC4173"/>
    <w:rsid w:val="22987C80"/>
    <w:rsid w:val="24192CCC"/>
    <w:rsid w:val="2BF95792"/>
    <w:rsid w:val="39A66CD4"/>
    <w:rsid w:val="3CD52CE1"/>
    <w:rsid w:val="410F2E6A"/>
    <w:rsid w:val="4430136C"/>
    <w:rsid w:val="4AB0382B"/>
    <w:rsid w:val="4AD34F77"/>
    <w:rsid w:val="569868B5"/>
    <w:rsid w:val="598110C5"/>
    <w:rsid w:val="611F6817"/>
    <w:rsid w:val="66CA1754"/>
    <w:rsid w:val="6ACE4BFE"/>
    <w:rsid w:val="6F1E65D4"/>
    <w:rsid w:val="6F266C86"/>
    <w:rsid w:val="6F5042C2"/>
    <w:rsid w:val="706A1AA4"/>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1002</Words>
  <Characters>5712</Characters>
  <Lines>47</Lines>
  <Paragraphs>13</Paragraphs>
  <TotalTime>1</TotalTime>
  <ScaleCrop>false</ScaleCrop>
  <LinksUpToDate>false</LinksUpToDate>
  <CharactersWithSpaces>6701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郭永洪</cp:lastModifiedBy>
  <cp:lastPrinted>2023-09-17T07:48:00Z</cp:lastPrinted>
  <dcterms:modified xsi:type="dcterms:W3CDTF">2024-03-07T23:55:04Z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49EE7357A0684786B5DF776936E82CD1_13</vt:lpwstr>
  </property>
</Properties>
</file>