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F4794">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病人安全护理学</w:t>
      </w:r>
      <w:r>
        <w:rPr>
          <w:rFonts w:hint="eastAsia" w:ascii="黑体" w:hAnsi="黑体" w:eastAsia="黑体"/>
          <w:bCs/>
          <w:sz w:val="32"/>
          <w:szCs w:val="32"/>
        </w:rPr>
        <w:t>》本科课程教学大纲</w:t>
      </w:r>
    </w:p>
    <w:p w14:paraId="2099D860">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D6C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90EAC0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2EA312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病人安全护理学</w:t>
            </w:r>
          </w:p>
        </w:tc>
      </w:tr>
      <w:tr w14:paraId="49BB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8E663A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989E24C">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Patient  Safety  Nursing</w:t>
            </w:r>
          </w:p>
        </w:tc>
      </w:tr>
      <w:tr w14:paraId="2398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2C34C3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94F1E57">
            <w:pPr>
              <w:widowControl w:val="0"/>
              <w:jc w:val="left"/>
              <w:rPr>
                <w:rFonts w:ascii="黑体" w:hAnsi="黑体" w:eastAsia="黑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1170022</w:t>
            </w:r>
          </w:p>
        </w:tc>
        <w:tc>
          <w:tcPr>
            <w:tcW w:w="2126" w:type="dxa"/>
            <w:gridSpan w:val="2"/>
            <w:vAlign w:val="center"/>
          </w:tcPr>
          <w:p w14:paraId="3B4BB2F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21D92E2">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29D4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913DF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A044011">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272" w:type="dxa"/>
            <w:vAlign w:val="center"/>
          </w:tcPr>
          <w:p w14:paraId="701AC39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DCF260A">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14:paraId="1EF33CE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47439A4">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6E84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C0230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50CB2E3">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sz w:val="20"/>
                <w:szCs w:val="20"/>
              </w:rPr>
              <w:t>健康管理学院</w:t>
            </w:r>
          </w:p>
        </w:tc>
        <w:tc>
          <w:tcPr>
            <w:tcW w:w="2126" w:type="dxa"/>
            <w:gridSpan w:val="2"/>
            <w:vAlign w:val="center"/>
          </w:tcPr>
          <w:p w14:paraId="7337852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3FC2F7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护理学（专升本）</w:t>
            </w:r>
          </w:p>
          <w:p w14:paraId="6CB4C8B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一年级</w:t>
            </w:r>
          </w:p>
        </w:tc>
      </w:tr>
      <w:tr w14:paraId="13AE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DEA30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22132F6">
            <w:pPr>
              <w:widowControl w:val="0"/>
              <w:jc w:val="left"/>
              <w:rPr>
                <w:color w:val="000000" w:themeColor="text1"/>
                <w:sz w:val="21"/>
                <w:szCs w:val="21"/>
                <w14:textFill>
                  <w14:solidFill>
                    <w14:schemeClr w14:val="tx1"/>
                  </w14:solidFill>
                </w14:textFill>
              </w:rPr>
            </w:pPr>
            <w:r>
              <w:rPr>
                <w:rFonts w:hint="eastAsia"/>
                <w:color w:val="000000"/>
                <w:sz w:val="20"/>
                <w:szCs w:val="20"/>
              </w:rPr>
              <w:t>专业选修课</w:t>
            </w:r>
          </w:p>
        </w:tc>
        <w:tc>
          <w:tcPr>
            <w:tcW w:w="2126" w:type="dxa"/>
            <w:gridSpan w:val="2"/>
            <w:vAlign w:val="center"/>
          </w:tcPr>
          <w:p w14:paraId="2EACE51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9DDF93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014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5AE542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BE03D27">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《病人安全护理学》主编 黄美萍、李云芳</w:t>
            </w:r>
            <w:r>
              <w:rPr>
                <w:rFonts w:hint="eastAsia" w:ascii="Times New Roman" w:hAnsi="Times New Roman" w:cs="Times New Roman"/>
                <w:color w:val="000000" w:themeColor="text1"/>
                <w:sz w:val="21"/>
                <w:szCs w:val="21"/>
                <w14:textFill>
                  <w14:solidFill>
                    <w14:schemeClr w14:val="tx1"/>
                  </w14:solidFill>
                </w14:textFill>
              </w:rPr>
              <w:t>ISBN</w:t>
            </w:r>
            <w:r>
              <w:rPr>
                <w:color w:val="000000"/>
                <w:sz w:val="21"/>
                <w:szCs w:val="21"/>
              </w:rPr>
              <w:t xml:space="preserve">9787117280235  </w:t>
            </w:r>
            <w:r>
              <w:rPr>
                <w:rFonts w:hint="eastAsia"/>
                <w:color w:val="000000"/>
                <w:sz w:val="21"/>
                <w:szCs w:val="21"/>
              </w:rPr>
              <w:t>人民卫生出版社</w:t>
            </w:r>
            <w:r>
              <w:rPr>
                <w:color w:val="000000"/>
                <w:sz w:val="21"/>
                <w:szCs w:val="21"/>
              </w:rPr>
              <w:t xml:space="preserve"> </w:t>
            </w:r>
            <w:r>
              <w:rPr>
                <w:rFonts w:hint="eastAsia"/>
                <w:color w:val="000000"/>
                <w:sz w:val="21"/>
                <w:szCs w:val="21"/>
              </w:rPr>
              <w:t>第一版</w:t>
            </w:r>
          </w:p>
        </w:tc>
        <w:tc>
          <w:tcPr>
            <w:tcW w:w="1413" w:type="dxa"/>
            <w:gridSpan w:val="2"/>
            <w:vAlign w:val="center"/>
          </w:tcPr>
          <w:p w14:paraId="4496F63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E701E7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E4D21C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6F6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8EC4C4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C370CE5">
            <w:pPr>
              <w:pStyle w:val="17"/>
              <w:widowControl w:val="0"/>
              <w:jc w:val="both"/>
            </w:pPr>
            <w:r>
              <w:rPr>
                <w:rFonts w:hint="eastAsia"/>
              </w:rPr>
              <w:t>人体解剖学1</w:t>
            </w:r>
            <w:r>
              <w:t>170001</w:t>
            </w:r>
            <w:r>
              <w:rPr>
                <w:rFonts w:hint="eastAsia"/>
              </w:rPr>
              <w:t>（4）、人体生理学1</w:t>
            </w:r>
            <w:r>
              <w:t>170024</w:t>
            </w:r>
            <w:r>
              <w:rPr>
                <w:rFonts w:hint="eastAsia"/>
              </w:rPr>
              <w:t>（3）、急危重症护理学1</w:t>
            </w:r>
            <w:r>
              <w:t>170011</w:t>
            </w:r>
            <w:r>
              <w:rPr>
                <w:rFonts w:hint="eastAsia"/>
              </w:rPr>
              <w:t>（2）等</w:t>
            </w:r>
          </w:p>
        </w:tc>
      </w:tr>
      <w:tr w14:paraId="3311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36" w:hRule="atLeast"/>
        </w:trPr>
        <w:tc>
          <w:tcPr>
            <w:tcW w:w="1691" w:type="dxa"/>
            <w:tcBorders>
              <w:left w:val="single" w:color="auto" w:sz="12" w:space="0"/>
            </w:tcBorders>
            <w:shd w:val="clear" w:color="auto" w:fill="auto"/>
            <w:vAlign w:val="center"/>
          </w:tcPr>
          <w:p w14:paraId="4A1FF5A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720094B">
            <w:pPr>
              <w:pStyle w:val="17"/>
              <w:widowControl w:val="0"/>
              <w:spacing w:line="300" w:lineRule="exact"/>
              <w:ind w:firstLine="420" w:firstLineChars="200"/>
              <w:jc w:val="both"/>
            </w:pPr>
            <w:r>
              <w:rPr>
                <w:rFonts w:hint="eastAsia" w:asciiTheme="minorEastAsia" w:hAnsiTheme="minorEastAsia" w:eastAsiaTheme="minorEastAsia" w:cstheme="minorEastAsia"/>
              </w:rPr>
              <w:t>《病人安全护理学》是护理学专业的专业选修课，病人安全教育作为一门新兴学科，是高等医药院校创新课程，是21世纪医学教育的重要内容之一。安全护理既是现代护理的重要内涵，也是中华人民共和国卫健委关于医疗护理服务过程中“质量、安全、效益”的组成部分，而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践和未来的从业过程中自觉执行安全的医疗护理行为规范和程序，为服务对象提供优质的健康服务，防止和减少伤害病人的事件发生。</w:t>
            </w:r>
          </w:p>
        </w:tc>
      </w:tr>
      <w:tr w14:paraId="65F5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71" w:hRule="atLeast"/>
        </w:trPr>
        <w:tc>
          <w:tcPr>
            <w:tcW w:w="1691" w:type="dxa"/>
            <w:tcBorders>
              <w:left w:val="single" w:color="auto" w:sz="12" w:space="0"/>
              <w:bottom w:val="double" w:color="auto" w:sz="4" w:space="0"/>
            </w:tcBorders>
            <w:shd w:val="clear" w:color="auto" w:fill="auto"/>
            <w:vAlign w:val="center"/>
          </w:tcPr>
          <w:p w14:paraId="3D6539E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F6A8ECE">
            <w:pPr>
              <w:widowControl w:val="0"/>
              <w:snapToGrid w:val="0"/>
              <w:spacing w:line="288" w:lineRule="auto"/>
              <w:ind w:firstLine="420" w:firstLineChars="200"/>
              <w:jc w:val="both"/>
              <w:rPr>
                <w:color w:val="000000"/>
                <w:sz w:val="21"/>
                <w:szCs w:val="21"/>
              </w:rPr>
            </w:pPr>
            <w:r>
              <w:rPr>
                <w:rFonts w:hint="eastAsia"/>
                <w:color w:val="000000"/>
                <w:sz w:val="21"/>
                <w:szCs w:val="21"/>
              </w:rPr>
              <w:t>本课程适合护理学专业（专升本）一年级第二学期本科学生授课，要求学生具有病人安全、不良事件等相关知识，具有识别临床护理中病人常见的护理风险，预防不良事件的发生，确保病人在就医过程中免受伤害的基本能力。</w:t>
            </w:r>
          </w:p>
        </w:tc>
      </w:tr>
      <w:tr w14:paraId="08D5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3F3F9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1C3FFB4">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26035</wp:posOffset>
                  </wp:positionH>
                  <wp:positionV relativeFrom="paragraph">
                    <wp:posOffset>43815</wp:posOffset>
                  </wp:positionV>
                  <wp:extent cx="552450" cy="273685"/>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5" cstate="print"/>
                          <a:srcRect/>
                          <a:stretch>
                            <a:fillRect/>
                          </a:stretch>
                        </pic:blipFill>
                        <pic:spPr>
                          <a:xfrm>
                            <a:off x="0" y="0"/>
                            <a:ext cx="552450" cy="273685"/>
                          </a:xfrm>
                          <a:prstGeom prst="rect">
                            <a:avLst/>
                          </a:prstGeom>
                          <a:noFill/>
                          <a:ln w="9525">
                            <a:noFill/>
                            <a:miter lim="800000"/>
                            <a:headEnd/>
                            <a:tailEnd/>
                          </a:ln>
                        </pic:spPr>
                      </pic:pic>
                    </a:graphicData>
                  </a:graphic>
                </wp:anchor>
              </w:drawing>
            </w:r>
          </w:p>
        </w:tc>
        <w:tc>
          <w:tcPr>
            <w:tcW w:w="1425" w:type="dxa"/>
            <w:gridSpan w:val="2"/>
            <w:tcBorders>
              <w:top w:val="double" w:color="auto" w:sz="4" w:space="0"/>
            </w:tcBorders>
            <w:vAlign w:val="center"/>
          </w:tcPr>
          <w:p w14:paraId="27354D0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2D88E3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025</w:t>
            </w:r>
            <w:r>
              <w:rPr>
                <w:rFonts w:hint="eastAsia" w:ascii="Times New Roman" w:hAnsi="Times New Roman"/>
                <w:color w:val="000000"/>
                <w:sz w:val="21"/>
                <w:szCs w:val="21"/>
                <w:lang w:val="en-US" w:eastAsia="zh-CN"/>
              </w:rPr>
              <w:t>.</w:t>
            </w:r>
            <w:r>
              <w:rPr>
                <w:rFonts w:ascii="Times New Roman" w:hAnsi="Times New Roman"/>
                <w:color w:val="000000"/>
                <w:sz w:val="21"/>
                <w:szCs w:val="21"/>
              </w:rPr>
              <w:t>1</w:t>
            </w:r>
            <w:r>
              <w:rPr>
                <w:rFonts w:hint="eastAsia" w:ascii="Times New Roman" w:hAnsi="Times New Roman"/>
                <w:color w:val="000000"/>
                <w:sz w:val="21"/>
                <w:szCs w:val="21"/>
                <w:lang w:val="en-US" w:eastAsia="zh-CN"/>
              </w:rPr>
              <w:t>.10</w:t>
            </w:r>
          </w:p>
        </w:tc>
      </w:tr>
      <w:tr w14:paraId="4BE7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6" w:hRule="atLeast"/>
        </w:trPr>
        <w:tc>
          <w:tcPr>
            <w:tcW w:w="1691" w:type="dxa"/>
            <w:tcBorders>
              <w:left w:val="single" w:color="auto" w:sz="12" w:space="0"/>
            </w:tcBorders>
            <w:shd w:val="clear" w:color="auto" w:fill="auto"/>
            <w:vAlign w:val="center"/>
          </w:tcPr>
          <w:p w14:paraId="7F43533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4DCDCEB">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487680" cy="220980"/>
                  <wp:effectExtent l="0" t="0" r="0" b="7620"/>
                  <wp:docPr id="2" name="图片 2"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14:paraId="3813FF2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2308EE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.2</w:t>
            </w:r>
            <w:r>
              <w:rPr>
                <w:rFonts w:hint="eastAsia" w:ascii="Times New Roman" w:hAnsi="Times New Roman"/>
                <w:color w:val="000000"/>
                <w:sz w:val="21"/>
                <w:szCs w:val="21"/>
                <w:lang w:val="en-US" w:eastAsia="zh-CN"/>
              </w:rPr>
              <w:t>.16</w:t>
            </w:r>
          </w:p>
        </w:tc>
      </w:tr>
      <w:tr w14:paraId="05F2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DA5830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19F813F">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0F2E3D7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BF876C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2025.2.28</w:t>
            </w:r>
            <w:bookmarkStart w:id="4" w:name="_GoBack"/>
            <w:bookmarkEnd w:id="4"/>
          </w:p>
        </w:tc>
      </w:tr>
    </w:tbl>
    <w:p w14:paraId="522496ED">
      <w:pPr>
        <w:spacing w:line="100" w:lineRule="exact"/>
        <w:rPr>
          <w:rFonts w:ascii="Arial" w:hAnsi="Arial" w:eastAsia="黑体"/>
        </w:rPr>
      </w:pPr>
      <w:r>
        <w:br w:type="page"/>
      </w:r>
    </w:p>
    <w:p w14:paraId="60BEDCC2">
      <w:pPr>
        <w:pStyle w:val="19"/>
        <w:spacing w:before="326" w:beforeLines="100" w:line="360" w:lineRule="auto"/>
        <w:rPr>
          <w:rFonts w:ascii="黑体" w:hAnsi="宋体"/>
        </w:rPr>
      </w:pPr>
      <w:r>
        <w:rPr>
          <w:rFonts w:hint="eastAsia" w:ascii="黑体" w:hAnsi="宋体"/>
        </w:rPr>
        <w:t>二、课程目标与毕业要求</w:t>
      </w:r>
    </w:p>
    <w:p w14:paraId="1527F671">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2116B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925F91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0D27986">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58CAEB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9EE6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EBDCFE1">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2DCF26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014BF479">
            <w:pPr>
              <w:pStyle w:val="17"/>
              <w:jc w:val="left"/>
              <w:rPr>
                <w:rFonts w:ascii="宋体" w:hAnsi="宋体"/>
              </w:rPr>
            </w:pPr>
            <w:r>
              <w:rPr>
                <w:rFonts w:hint="eastAsia" w:ascii="宋体" w:hAnsi="宋体"/>
              </w:rPr>
              <w:t>1</w:t>
            </w:r>
            <w:r>
              <w:rPr>
                <w:rFonts w:ascii="宋体" w:hAnsi="宋体"/>
              </w:rPr>
              <w:t>.</w:t>
            </w:r>
            <w:r>
              <w:rPr>
                <w:rFonts w:hint="eastAsia" w:ascii="宋体" w:hAnsi="宋体"/>
              </w:rPr>
              <w:t>知道</w:t>
            </w:r>
            <w:r>
              <w:rPr>
                <w:rFonts w:ascii="宋体" w:hAnsi="宋体"/>
              </w:rPr>
              <w:t>病人安全、不良事件相关</w:t>
            </w:r>
            <w:r>
              <w:rPr>
                <w:rFonts w:hint="eastAsia" w:ascii="宋体" w:hAnsi="宋体"/>
              </w:rPr>
              <w:t>知识</w:t>
            </w:r>
            <w:r>
              <w:rPr>
                <w:rFonts w:ascii="宋体" w:hAnsi="宋体"/>
              </w:rPr>
              <w:t>；</w:t>
            </w:r>
            <w:r>
              <w:rPr>
                <w:rFonts w:hint="eastAsia" w:ascii="宋体" w:hAnsi="宋体"/>
              </w:rPr>
              <w:t>理解</w:t>
            </w:r>
            <w:r>
              <w:rPr>
                <w:rFonts w:ascii="宋体" w:hAnsi="宋体"/>
              </w:rPr>
              <w:t>病人十大安全目标</w:t>
            </w:r>
            <w:r>
              <w:rPr>
                <w:rFonts w:hint="eastAsia" w:ascii="宋体" w:hAnsi="宋体"/>
              </w:rPr>
              <w:t>，能够识别临床护理中病人常见的护理风险。</w:t>
            </w:r>
          </w:p>
        </w:tc>
      </w:tr>
      <w:tr w14:paraId="08BE2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A3FE552">
            <w:pPr>
              <w:pStyle w:val="17"/>
              <w:rPr>
                <w:bCs/>
              </w:rPr>
            </w:pPr>
          </w:p>
        </w:tc>
        <w:tc>
          <w:tcPr>
            <w:tcW w:w="764" w:type="dxa"/>
            <w:shd w:val="clear" w:color="auto" w:fill="auto"/>
            <w:vAlign w:val="center"/>
          </w:tcPr>
          <w:p w14:paraId="704D4D6F">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60A08293">
            <w:pPr>
              <w:pStyle w:val="17"/>
              <w:jc w:val="left"/>
              <w:rPr>
                <w:rFonts w:ascii="宋体" w:hAnsi="宋体"/>
              </w:rPr>
            </w:pPr>
            <w:r>
              <w:rPr>
                <w:rFonts w:hint="eastAsia" w:ascii="宋体" w:hAnsi="宋体"/>
              </w:rPr>
              <w:t>2</w:t>
            </w:r>
            <w:r>
              <w:rPr>
                <w:rFonts w:ascii="宋体" w:hAnsi="宋体"/>
              </w:rPr>
              <w:t>.</w:t>
            </w:r>
            <w:r>
              <w:rPr>
                <w:rFonts w:hint="eastAsia" w:ascii="宋体" w:hAnsi="宋体"/>
              </w:rPr>
              <w:t>理解</w:t>
            </w:r>
            <w:r>
              <w:rPr>
                <w:rFonts w:ascii="宋体" w:hAnsi="宋体"/>
              </w:rPr>
              <w:t>护理风险管理程序</w:t>
            </w:r>
            <w:r>
              <w:rPr>
                <w:rFonts w:hint="eastAsia" w:ascii="宋体" w:hAnsi="宋体"/>
              </w:rPr>
              <w:t>，分析护理风险产生的原因及护理风险控制的主要措施。</w:t>
            </w:r>
          </w:p>
        </w:tc>
      </w:tr>
      <w:tr w14:paraId="2141D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1E85706">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95F3D7F">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5C71371">
            <w:pPr>
              <w:pStyle w:val="17"/>
              <w:jc w:val="left"/>
              <w:rPr>
                <w:rFonts w:ascii="宋体" w:hAnsi="宋体"/>
              </w:rPr>
            </w:pPr>
            <w:r>
              <w:rPr>
                <w:rFonts w:ascii="宋体" w:hAnsi="宋体"/>
              </w:rPr>
              <w:t>1.</w:t>
            </w:r>
            <w:r>
              <w:rPr>
                <w:rFonts w:hint="eastAsia" w:ascii="宋体" w:hAnsi="宋体"/>
              </w:rPr>
              <w:t>具有预防不良事件的发生，确保病人在就医过程中免受伤害的基本能力。</w:t>
            </w:r>
          </w:p>
        </w:tc>
      </w:tr>
      <w:tr w14:paraId="1AA28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543F31A">
            <w:pPr>
              <w:pStyle w:val="17"/>
              <w:rPr>
                <w:rFonts w:ascii="宋体" w:hAnsi="宋体"/>
              </w:rPr>
            </w:pPr>
          </w:p>
        </w:tc>
        <w:tc>
          <w:tcPr>
            <w:tcW w:w="764" w:type="dxa"/>
            <w:shd w:val="clear" w:color="auto" w:fill="auto"/>
            <w:vAlign w:val="center"/>
          </w:tcPr>
          <w:p w14:paraId="4AD225D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B0219BE">
            <w:pPr>
              <w:pStyle w:val="17"/>
              <w:jc w:val="left"/>
              <w:rPr>
                <w:rFonts w:ascii="宋体" w:hAnsi="宋体"/>
                <w:bCs/>
              </w:rPr>
            </w:pPr>
            <w:r>
              <w:rPr>
                <w:rFonts w:ascii="宋体" w:hAnsi="宋体"/>
              </w:rPr>
              <w:t>2.</w:t>
            </w:r>
            <w:r>
              <w:rPr>
                <w:rFonts w:hint="eastAsia" w:ascii="宋体" w:hAnsi="宋体"/>
              </w:rPr>
              <w:t>具有在护理专业实践中有效沟通与合作的能力。能运用人际沟通技巧有效跟病人开展安全教育。</w:t>
            </w:r>
          </w:p>
        </w:tc>
      </w:tr>
      <w:tr w14:paraId="20A44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7DB488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27ABD6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9C03DF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F1696CE">
            <w:pPr>
              <w:pStyle w:val="17"/>
              <w:jc w:val="left"/>
              <w:rPr>
                <w:rFonts w:ascii="宋体" w:hAnsi="宋体"/>
                <w:bCs/>
              </w:rPr>
            </w:pPr>
            <w:r>
              <w:rPr>
                <w:rFonts w:hint="eastAsia" w:ascii="宋体" w:hAnsi="宋体"/>
              </w:rPr>
              <w:t>诚信尽责，为人诚实，信守承诺，勤奋努力，精益求精，勇于担责。具有运用相关法规保护护理对象和自身权益的意识。树立依法行护的法律观念，遵从医疗护理相关法规，自觉将专业行为纳入法律和伦理允许的范围内。</w:t>
            </w:r>
          </w:p>
        </w:tc>
      </w:tr>
    </w:tbl>
    <w:p w14:paraId="5961BF1B">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2710AD4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5ED62A7">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EEE4D1A">
            <w:pPr>
              <w:pStyle w:val="17"/>
              <w:widowControl w:val="0"/>
              <w:jc w:val="left"/>
              <w:rPr>
                <w:rFonts w:ascii="宋体" w:hAnsi="宋体"/>
              </w:rPr>
            </w:pPr>
            <w:r>
              <w:rPr>
                <w:rFonts w:hint="eastAsia" w:ascii="宋体" w:hAnsi="宋体"/>
              </w:rPr>
              <w:t>④诚信尽责，为人诚实，信守承诺，勤奋努力，精益求精，勇于担责。</w:t>
            </w:r>
          </w:p>
        </w:tc>
      </w:tr>
      <w:tr w14:paraId="14D2CF3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5D40D34">
            <w:pPr>
              <w:pStyle w:val="17"/>
              <w:widowControl w:val="0"/>
              <w:jc w:val="left"/>
              <w:rPr>
                <w:rFonts w:ascii="宋体" w:hAnsi="宋体"/>
              </w:rPr>
            </w:pPr>
            <w:r>
              <w:rPr>
                <w:rFonts w:ascii="宋体" w:hAnsi="宋体"/>
              </w:rPr>
              <w:t>LO2专业能力：具有人文科学素养，具备从事护理工作或专业的理论知识、实践能力。</w:t>
            </w:r>
          </w:p>
          <w:p w14:paraId="730B5543">
            <w:pPr>
              <w:pStyle w:val="17"/>
              <w:widowControl w:val="0"/>
              <w:jc w:val="left"/>
              <w:rPr>
                <w:rFonts w:ascii="宋体" w:hAnsi="宋体"/>
              </w:rPr>
            </w:pPr>
            <w:r>
              <w:rPr>
                <w:rFonts w:hint="eastAsia" w:ascii="宋体" w:hAnsi="宋体"/>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14:paraId="3D796A8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6647620">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14:paraId="0714A137">
            <w:pPr>
              <w:pStyle w:val="17"/>
              <w:widowControl w:val="0"/>
              <w:jc w:val="left"/>
              <w:rPr>
                <w:rFonts w:ascii="宋体" w:hAnsi="宋体"/>
                <w:bCs/>
              </w:rPr>
            </w:pPr>
            <w:r>
              <w:rPr>
                <w:rFonts w:hint="eastAsia" w:ascii="宋体" w:hAnsi="宋体"/>
              </w:rPr>
              <w:t>①倾听他人意见、尊重他人观点、分析他人需求。</w:t>
            </w:r>
          </w:p>
        </w:tc>
      </w:tr>
      <w:tr w14:paraId="545FAF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5F9D6E6">
            <w:pPr>
              <w:pStyle w:val="17"/>
              <w:widowControl w:val="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14:paraId="0CB6256D">
            <w:pPr>
              <w:pStyle w:val="17"/>
              <w:widowControl w:val="0"/>
              <w:jc w:val="left"/>
              <w:rPr>
                <w:rFonts w:ascii="宋体" w:hAnsi="宋体"/>
              </w:rPr>
            </w:pPr>
            <w:r>
              <w:rPr>
                <w:rFonts w:hint="eastAsia" w:ascii="宋体" w:hAnsi="宋体"/>
              </w:rPr>
              <w:t>①在集体活动中能主动担任自己的角色，与其他成员密切合作，善于自我管理和团队管理，共同完成任务。</w:t>
            </w:r>
          </w:p>
          <w:p w14:paraId="42C6816B">
            <w:pPr>
              <w:pStyle w:val="17"/>
              <w:widowControl w:val="0"/>
              <w:jc w:val="left"/>
              <w:rPr>
                <w:rFonts w:ascii="宋体" w:hAnsi="宋体"/>
              </w:rPr>
            </w:pPr>
          </w:p>
        </w:tc>
      </w:tr>
    </w:tbl>
    <w:p w14:paraId="75EBF613">
      <w:pPr>
        <w:pStyle w:val="20"/>
        <w:spacing w:before="163" w:beforeLines="50" w:after="163"/>
      </w:pPr>
    </w:p>
    <w:p w14:paraId="784C29D7">
      <w:pPr>
        <w:pStyle w:val="20"/>
        <w:spacing w:before="163"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7B5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CEE0F86">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73D6493D">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7EC4A6E3">
            <w:pPr>
              <w:pStyle w:val="16"/>
              <w:rPr>
                <w:szCs w:val="16"/>
              </w:rPr>
            </w:pPr>
            <w:r>
              <w:rPr>
                <w:rFonts w:hint="eastAsia"/>
                <w:szCs w:val="16"/>
              </w:rPr>
              <w:t>支撑度</w:t>
            </w:r>
          </w:p>
        </w:tc>
        <w:tc>
          <w:tcPr>
            <w:tcW w:w="4651" w:type="dxa"/>
            <w:tcBorders>
              <w:top w:val="single" w:color="auto" w:sz="12" w:space="0"/>
            </w:tcBorders>
            <w:vAlign w:val="center"/>
          </w:tcPr>
          <w:p w14:paraId="59434AE0">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14:paraId="059C4952">
            <w:pPr>
              <w:pStyle w:val="16"/>
              <w:rPr>
                <w:szCs w:val="16"/>
              </w:rPr>
            </w:pPr>
            <w:r>
              <w:rPr>
                <w:rFonts w:hint="eastAsia"/>
                <w:szCs w:val="16"/>
              </w:rPr>
              <w:t>对指标点的贡献度</w:t>
            </w:r>
          </w:p>
        </w:tc>
      </w:tr>
      <w:tr w14:paraId="36E7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6B4A45BE">
            <w:pPr>
              <w:pStyle w:val="17"/>
              <w:rPr>
                <w:b/>
              </w:rPr>
            </w:pPr>
            <w:r>
              <w:rPr>
                <w:b/>
              </w:rPr>
              <w:t>L01</w:t>
            </w:r>
          </w:p>
        </w:tc>
        <w:tc>
          <w:tcPr>
            <w:tcW w:w="775" w:type="dxa"/>
            <w:tcBorders>
              <w:left w:val="single" w:color="auto" w:sz="4" w:space="0"/>
            </w:tcBorders>
            <w:vAlign w:val="center"/>
          </w:tcPr>
          <w:p w14:paraId="1B626B22">
            <w:pPr>
              <w:pStyle w:val="17"/>
              <w:rPr>
                <w:bCs/>
              </w:rPr>
            </w:pPr>
            <w:r>
              <w:rPr>
                <w:rFonts w:hint="eastAsia"/>
                <w:bCs/>
              </w:rPr>
              <w:t>④</w:t>
            </w:r>
          </w:p>
        </w:tc>
        <w:tc>
          <w:tcPr>
            <w:tcW w:w="775" w:type="dxa"/>
            <w:tcBorders>
              <w:right w:val="double" w:color="auto" w:sz="4" w:space="0"/>
            </w:tcBorders>
            <w:shd w:val="clear" w:color="auto" w:fill="auto"/>
            <w:vAlign w:val="center"/>
          </w:tcPr>
          <w:p w14:paraId="29B4BA6A">
            <w:pPr>
              <w:pStyle w:val="17"/>
              <w:rPr>
                <w:rFonts w:ascii="宋体" w:hAnsi="宋体"/>
              </w:rPr>
            </w:pPr>
            <w:r>
              <w:rPr>
                <w:rFonts w:ascii="宋体" w:hAnsi="宋体"/>
              </w:rPr>
              <w:t>H</w:t>
            </w:r>
          </w:p>
        </w:tc>
        <w:tc>
          <w:tcPr>
            <w:tcW w:w="4651" w:type="dxa"/>
            <w:vAlign w:val="center"/>
          </w:tcPr>
          <w:p w14:paraId="15603DCA">
            <w:pPr>
              <w:pStyle w:val="17"/>
              <w:jc w:val="left"/>
              <w:rPr>
                <w:rFonts w:ascii="宋体" w:hAnsi="宋体"/>
              </w:rPr>
            </w:pPr>
            <w:r>
              <w:rPr>
                <w:rFonts w:ascii="宋体" w:hAnsi="宋体"/>
              </w:rPr>
              <w:t>5.</w:t>
            </w:r>
            <w:r>
              <w:rPr>
                <w:rFonts w:hint="eastAsia" w:ascii="宋体" w:hAnsi="宋体"/>
              </w:rPr>
              <w:t>诚信尽责，为人诚实，信守承诺，勤奋努力，精益求精，勇于担责。具有运用相关法规保护护理对象和自身权益的意识。树立依法行护的法律观念，遵从医疗护理相关法规，自觉将专业行为纳入法律和伦理允许的范围内。</w:t>
            </w:r>
          </w:p>
        </w:tc>
        <w:tc>
          <w:tcPr>
            <w:tcW w:w="1316" w:type="dxa"/>
            <w:tcBorders>
              <w:right w:val="single" w:color="auto" w:sz="12" w:space="0"/>
            </w:tcBorders>
            <w:vAlign w:val="center"/>
          </w:tcPr>
          <w:p w14:paraId="282F3A96">
            <w:pPr>
              <w:pStyle w:val="17"/>
              <w:rPr>
                <w:rFonts w:ascii="宋体" w:hAnsi="宋体"/>
                <w:bCs/>
              </w:rPr>
            </w:pPr>
            <w:r>
              <w:rPr>
                <w:rFonts w:ascii="宋体" w:hAnsi="宋体"/>
                <w:bCs/>
              </w:rPr>
              <w:t>100</w:t>
            </w:r>
            <w:r>
              <w:rPr>
                <w:rFonts w:hint="eastAsia" w:ascii="宋体" w:hAnsi="宋体"/>
                <w:bCs/>
              </w:rPr>
              <w:t>%</w:t>
            </w:r>
          </w:p>
        </w:tc>
      </w:tr>
      <w:tr w14:paraId="1D75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4BE0E86">
            <w:pPr>
              <w:pStyle w:val="17"/>
              <w:rPr>
                <w:b/>
                <w:bCs/>
              </w:rPr>
            </w:pPr>
            <w:r>
              <w:rPr>
                <w:rFonts w:hint="eastAsia"/>
                <w:b/>
                <w:bCs/>
              </w:rPr>
              <w:t>L</w:t>
            </w:r>
            <w:r>
              <w:rPr>
                <w:b/>
                <w:bCs/>
              </w:rPr>
              <w:t>02</w:t>
            </w:r>
          </w:p>
        </w:tc>
        <w:tc>
          <w:tcPr>
            <w:tcW w:w="775" w:type="dxa"/>
            <w:vMerge w:val="restart"/>
            <w:tcBorders>
              <w:left w:val="single" w:color="auto" w:sz="4" w:space="0"/>
            </w:tcBorders>
            <w:vAlign w:val="center"/>
          </w:tcPr>
          <w:p w14:paraId="6A4027CF">
            <w:pPr>
              <w:pStyle w:val="17"/>
              <w:rPr>
                <w:rFonts w:cs="Times New Roman"/>
                <w:bCs/>
              </w:rPr>
            </w:pPr>
            <w:r>
              <w:rPr>
                <w:rFonts w:hint="eastAsia" w:cs="Times New Roman"/>
                <w:bCs/>
              </w:rPr>
              <w:t>③</w:t>
            </w:r>
          </w:p>
        </w:tc>
        <w:tc>
          <w:tcPr>
            <w:tcW w:w="775" w:type="dxa"/>
            <w:vMerge w:val="restart"/>
            <w:tcBorders>
              <w:right w:val="double" w:color="auto" w:sz="4" w:space="0"/>
            </w:tcBorders>
            <w:shd w:val="clear" w:color="auto" w:fill="auto"/>
            <w:vAlign w:val="center"/>
          </w:tcPr>
          <w:p w14:paraId="3A441714">
            <w:pPr>
              <w:pStyle w:val="17"/>
              <w:rPr>
                <w:rFonts w:ascii="宋体" w:hAnsi="宋体"/>
              </w:rPr>
            </w:pPr>
            <w:r>
              <w:rPr>
                <w:rFonts w:ascii="宋体" w:hAnsi="宋体"/>
              </w:rPr>
              <w:t>M</w:t>
            </w:r>
          </w:p>
        </w:tc>
        <w:tc>
          <w:tcPr>
            <w:tcW w:w="4651" w:type="dxa"/>
            <w:vAlign w:val="center"/>
          </w:tcPr>
          <w:p w14:paraId="61361CCD">
            <w:pPr>
              <w:pStyle w:val="17"/>
              <w:jc w:val="left"/>
              <w:rPr>
                <w:rFonts w:ascii="宋体" w:hAnsi="宋体"/>
                <w:bCs/>
              </w:rPr>
            </w:pPr>
            <w:r>
              <w:rPr>
                <w:rFonts w:hint="eastAsia" w:ascii="宋体" w:hAnsi="宋体"/>
              </w:rPr>
              <w:t>1</w:t>
            </w:r>
            <w:r>
              <w:rPr>
                <w:rFonts w:ascii="宋体" w:hAnsi="宋体"/>
              </w:rPr>
              <w:t>.知道病人安全、不良事件相关知识；理解病人十大安全目标，能够识别临床护理中病人常见的护理风险。</w:t>
            </w:r>
            <w:r>
              <w:rPr>
                <w:rFonts w:ascii="宋体" w:hAnsi="宋体"/>
                <w:bCs/>
              </w:rPr>
              <w:t xml:space="preserve"> </w:t>
            </w:r>
          </w:p>
        </w:tc>
        <w:tc>
          <w:tcPr>
            <w:tcW w:w="1316" w:type="dxa"/>
            <w:tcBorders>
              <w:right w:val="single" w:color="auto" w:sz="12" w:space="0"/>
            </w:tcBorders>
            <w:vAlign w:val="center"/>
          </w:tcPr>
          <w:p w14:paraId="73FBC9B3">
            <w:pPr>
              <w:pStyle w:val="17"/>
              <w:rPr>
                <w:rFonts w:ascii="宋体" w:hAnsi="宋体"/>
                <w:bCs/>
              </w:rPr>
            </w:pPr>
            <w:r>
              <w:rPr>
                <w:rFonts w:ascii="宋体" w:hAnsi="宋体"/>
                <w:bCs/>
              </w:rPr>
              <w:t>50</w:t>
            </w:r>
            <w:r>
              <w:rPr>
                <w:rFonts w:hint="eastAsia" w:ascii="宋体" w:hAnsi="宋体"/>
                <w:bCs/>
              </w:rPr>
              <w:t>%</w:t>
            </w:r>
          </w:p>
        </w:tc>
      </w:tr>
      <w:tr w14:paraId="276C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97CE937">
            <w:pPr>
              <w:pStyle w:val="17"/>
            </w:pPr>
          </w:p>
        </w:tc>
        <w:tc>
          <w:tcPr>
            <w:tcW w:w="775" w:type="dxa"/>
            <w:vMerge w:val="continue"/>
            <w:tcBorders>
              <w:left w:val="single" w:color="auto" w:sz="4" w:space="0"/>
            </w:tcBorders>
            <w:vAlign w:val="center"/>
          </w:tcPr>
          <w:p w14:paraId="580BD1B9">
            <w:pPr>
              <w:pStyle w:val="17"/>
              <w:rPr>
                <w:rFonts w:cs="Times New Roman"/>
                <w:bCs/>
              </w:rPr>
            </w:pPr>
          </w:p>
        </w:tc>
        <w:tc>
          <w:tcPr>
            <w:tcW w:w="775" w:type="dxa"/>
            <w:vMerge w:val="continue"/>
            <w:tcBorders>
              <w:right w:val="double" w:color="auto" w:sz="4" w:space="0"/>
            </w:tcBorders>
            <w:shd w:val="clear" w:color="auto" w:fill="auto"/>
            <w:vAlign w:val="center"/>
          </w:tcPr>
          <w:p w14:paraId="587991E1">
            <w:pPr>
              <w:pStyle w:val="17"/>
              <w:rPr>
                <w:rFonts w:ascii="宋体" w:hAnsi="宋体"/>
              </w:rPr>
            </w:pPr>
          </w:p>
        </w:tc>
        <w:tc>
          <w:tcPr>
            <w:tcW w:w="4651" w:type="dxa"/>
            <w:vAlign w:val="center"/>
          </w:tcPr>
          <w:p w14:paraId="4ADE3F40">
            <w:pPr>
              <w:pStyle w:val="17"/>
              <w:jc w:val="left"/>
              <w:rPr>
                <w:rFonts w:ascii="宋体" w:hAnsi="宋体"/>
              </w:rPr>
            </w:pPr>
            <w:r>
              <w:rPr>
                <w:rFonts w:hint="eastAsia" w:ascii="宋体" w:hAnsi="宋体"/>
              </w:rPr>
              <w:t>2</w:t>
            </w:r>
            <w:r>
              <w:rPr>
                <w:rFonts w:ascii="宋体" w:hAnsi="宋体"/>
              </w:rPr>
              <w:t>.理解护理风险管理程序，分析护理风险产生的原因及护理风险控制的主要措施</w:t>
            </w:r>
            <w:r>
              <w:rPr>
                <w:rFonts w:hint="eastAsia" w:ascii="宋体" w:hAnsi="宋体"/>
              </w:rPr>
              <w:t>。</w:t>
            </w:r>
          </w:p>
        </w:tc>
        <w:tc>
          <w:tcPr>
            <w:tcW w:w="1316" w:type="dxa"/>
            <w:tcBorders>
              <w:right w:val="single" w:color="auto" w:sz="12" w:space="0"/>
            </w:tcBorders>
            <w:vAlign w:val="center"/>
          </w:tcPr>
          <w:p w14:paraId="4B2D6446">
            <w:pPr>
              <w:pStyle w:val="17"/>
              <w:rPr>
                <w:rFonts w:ascii="宋体" w:hAnsi="宋体"/>
                <w:bCs/>
              </w:rPr>
            </w:pPr>
            <w:r>
              <w:rPr>
                <w:rFonts w:ascii="宋体" w:hAnsi="宋体"/>
                <w:bCs/>
              </w:rPr>
              <w:t>30</w:t>
            </w:r>
            <w:r>
              <w:rPr>
                <w:rFonts w:hint="eastAsia" w:ascii="宋体" w:hAnsi="宋体"/>
                <w:bCs/>
              </w:rPr>
              <w:t>%</w:t>
            </w:r>
          </w:p>
        </w:tc>
      </w:tr>
      <w:tr w14:paraId="1155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F12E652">
            <w:pPr>
              <w:pStyle w:val="17"/>
            </w:pPr>
          </w:p>
        </w:tc>
        <w:tc>
          <w:tcPr>
            <w:tcW w:w="775" w:type="dxa"/>
            <w:vMerge w:val="continue"/>
            <w:tcBorders>
              <w:left w:val="single" w:color="auto" w:sz="4" w:space="0"/>
            </w:tcBorders>
            <w:vAlign w:val="center"/>
          </w:tcPr>
          <w:p w14:paraId="631A83D8">
            <w:pPr>
              <w:pStyle w:val="17"/>
              <w:rPr>
                <w:rFonts w:cs="Times New Roman"/>
                <w:bCs/>
              </w:rPr>
            </w:pPr>
          </w:p>
        </w:tc>
        <w:tc>
          <w:tcPr>
            <w:tcW w:w="775" w:type="dxa"/>
            <w:vMerge w:val="continue"/>
            <w:tcBorders>
              <w:right w:val="double" w:color="auto" w:sz="4" w:space="0"/>
            </w:tcBorders>
            <w:shd w:val="clear" w:color="auto" w:fill="auto"/>
            <w:vAlign w:val="center"/>
          </w:tcPr>
          <w:p w14:paraId="0B40EE2F">
            <w:pPr>
              <w:pStyle w:val="17"/>
              <w:rPr>
                <w:rFonts w:ascii="宋体" w:hAnsi="宋体"/>
              </w:rPr>
            </w:pPr>
          </w:p>
        </w:tc>
        <w:tc>
          <w:tcPr>
            <w:tcW w:w="4651" w:type="dxa"/>
            <w:vAlign w:val="center"/>
          </w:tcPr>
          <w:p w14:paraId="54FE2616">
            <w:pPr>
              <w:pStyle w:val="17"/>
              <w:jc w:val="left"/>
              <w:rPr>
                <w:rFonts w:ascii="宋体" w:hAnsi="宋体"/>
              </w:rPr>
            </w:pPr>
            <w:r>
              <w:rPr>
                <w:rFonts w:hint="eastAsia" w:ascii="宋体" w:hAnsi="宋体"/>
              </w:rPr>
              <w:t>3</w:t>
            </w:r>
            <w:r>
              <w:rPr>
                <w:rFonts w:ascii="宋体" w:hAnsi="宋体"/>
              </w:rPr>
              <w:t>.具有预防不良事件的发生，确保病人在就医过程中免受伤害的基本能力。</w:t>
            </w:r>
          </w:p>
        </w:tc>
        <w:tc>
          <w:tcPr>
            <w:tcW w:w="1316" w:type="dxa"/>
            <w:tcBorders>
              <w:right w:val="single" w:color="auto" w:sz="12" w:space="0"/>
            </w:tcBorders>
            <w:vAlign w:val="center"/>
          </w:tcPr>
          <w:p w14:paraId="35080FDB">
            <w:pPr>
              <w:pStyle w:val="17"/>
              <w:rPr>
                <w:rFonts w:ascii="宋体" w:hAnsi="宋体"/>
                <w:bCs/>
              </w:rPr>
            </w:pPr>
            <w:r>
              <w:rPr>
                <w:rFonts w:ascii="宋体" w:hAnsi="宋体"/>
                <w:bCs/>
              </w:rPr>
              <w:t>20</w:t>
            </w:r>
            <w:r>
              <w:rPr>
                <w:rFonts w:hint="eastAsia" w:ascii="宋体" w:hAnsi="宋体"/>
                <w:bCs/>
              </w:rPr>
              <w:t>%</w:t>
            </w:r>
          </w:p>
        </w:tc>
      </w:tr>
      <w:tr w14:paraId="583C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07E0F339">
            <w:pPr>
              <w:pStyle w:val="17"/>
              <w:rPr>
                <w:b/>
                <w:bCs/>
              </w:rPr>
            </w:pPr>
            <w:r>
              <w:rPr>
                <w:rFonts w:hint="eastAsia"/>
                <w:b/>
                <w:bCs/>
              </w:rPr>
              <w:t>L</w:t>
            </w:r>
            <w:r>
              <w:rPr>
                <w:b/>
                <w:bCs/>
              </w:rPr>
              <w:t>03</w:t>
            </w:r>
          </w:p>
        </w:tc>
        <w:tc>
          <w:tcPr>
            <w:tcW w:w="775" w:type="dxa"/>
            <w:tcBorders>
              <w:left w:val="single" w:color="auto" w:sz="4" w:space="0"/>
            </w:tcBorders>
            <w:vAlign w:val="center"/>
          </w:tcPr>
          <w:p w14:paraId="5BDF9298">
            <w:pPr>
              <w:pStyle w:val="17"/>
              <w:ind w:firstLine="210" w:firstLineChars="100"/>
              <w:jc w:val="left"/>
              <w:rPr>
                <w:rFonts w:cs="Times New Roman"/>
                <w:bCs/>
              </w:rPr>
            </w:pPr>
            <w:r>
              <w:rPr>
                <w:rFonts w:hint="eastAsia" w:ascii="宋体" w:hAnsi="宋体" w:cs="Times New Roman"/>
                <w:bCs/>
              </w:rPr>
              <w:t>①</w:t>
            </w:r>
          </w:p>
        </w:tc>
        <w:tc>
          <w:tcPr>
            <w:tcW w:w="775" w:type="dxa"/>
            <w:tcBorders>
              <w:right w:val="double" w:color="auto" w:sz="4" w:space="0"/>
            </w:tcBorders>
            <w:shd w:val="clear" w:color="auto" w:fill="auto"/>
            <w:vAlign w:val="center"/>
          </w:tcPr>
          <w:p w14:paraId="2B07B699">
            <w:pPr>
              <w:pStyle w:val="17"/>
              <w:rPr>
                <w:rFonts w:ascii="宋体" w:hAnsi="宋体"/>
              </w:rPr>
            </w:pPr>
            <w:r>
              <w:rPr>
                <w:rFonts w:ascii="宋体" w:hAnsi="宋体"/>
              </w:rPr>
              <w:t>M</w:t>
            </w:r>
          </w:p>
        </w:tc>
        <w:tc>
          <w:tcPr>
            <w:tcW w:w="4651" w:type="dxa"/>
            <w:vAlign w:val="center"/>
          </w:tcPr>
          <w:p w14:paraId="61F4DC34">
            <w:pPr>
              <w:pStyle w:val="17"/>
              <w:jc w:val="left"/>
              <w:rPr>
                <w:rFonts w:ascii="宋体" w:hAnsi="宋体"/>
              </w:rPr>
            </w:pPr>
            <w:r>
              <w:rPr>
                <w:rFonts w:hint="eastAsia" w:ascii="宋体" w:hAnsi="宋体"/>
              </w:rPr>
              <w:t>4</w:t>
            </w:r>
            <w:r>
              <w:rPr>
                <w:rFonts w:ascii="宋体" w:hAnsi="宋体"/>
              </w:rPr>
              <w:t>.</w:t>
            </w:r>
            <w:r>
              <w:rPr>
                <w:rFonts w:hint="eastAsia" w:ascii="宋体" w:hAnsi="宋体"/>
              </w:rPr>
              <w:t>具有在护理专业实践中有效沟通与合作的能力。能运用人际沟通技巧有效跟病人开展安全教育。</w:t>
            </w:r>
          </w:p>
        </w:tc>
        <w:tc>
          <w:tcPr>
            <w:tcW w:w="1316" w:type="dxa"/>
            <w:tcBorders>
              <w:right w:val="single" w:color="auto" w:sz="12" w:space="0"/>
            </w:tcBorders>
            <w:vAlign w:val="center"/>
          </w:tcPr>
          <w:p w14:paraId="09B0A1D1">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14:paraId="3AD5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258B8DC5">
            <w:pPr>
              <w:pStyle w:val="17"/>
              <w:rPr>
                <w:b/>
                <w:bCs/>
              </w:rPr>
            </w:pPr>
            <w:r>
              <w:rPr>
                <w:rFonts w:hint="eastAsia"/>
                <w:b/>
                <w:bCs/>
              </w:rPr>
              <w:t>L</w:t>
            </w:r>
            <w:r>
              <w:rPr>
                <w:b/>
                <w:bCs/>
              </w:rPr>
              <w:t>06</w:t>
            </w:r>
          </w:p>
        </w:tc>
        <w:tc>
          <w:tcPr>
            <w:tcW w:w="775" w:type="dxa"/>
            <w:tcBorders>
              <w:left w:val="single" w:color="auto" w:sz="4" w:space="0"/>
              <w:bottom w:val="single" w:color="auto" w:sz="12" w:space="0"/>
            </w:tcBorders>
            <w:vAlign w:val="center"/>
          </w:tcPr>
          <w:p w14:paraId="75CA957B">
            <w:pPr>
              <w:pStyle w:val="17"/>
              <w:rPr>
                <w:rFonts w:cs="Times New Roman"/>
                <w:bCs/>
              </w:rPr>
            </w:pPr>
            <w:r>
              <w:rPr>
                <w:rFonts w:hint="eastAsia" w:ascii="宋体" w:hAnsi="宋体" w:cs="Times New Roman"/>
                <w:bCs/>
              </w:rPr>
              <w:t>①</w:t>
            </w:r>
          </w:p>
        </w:tc>
        <w:tc>
          <w:tcPr>
            <w:tcW w:w="775" w:type="dxa"/>
            <w:tcBorders>
              <w:bottom w:val="single" w:color="auto" w:sz="12" w:space="0"/>
              <w:right w:val="double" w:color="auto" w:sz="4" w:space="0"/>
            </w:tcBorders>
            <w:shd w:val="clear" w:color="auto" w:fill="auto"/>
            <w:vAlign w:val="center"/>
          </w:tcPr>
          <w:p w14:paraId="77D5847E">
            <w:pPr>
              <w:pStyle w:val="17"/>
              <w:rPr>
                <w:rFonts w:ascii="宋体" w:hAnsi="宋体"/>
              </w:rPr>
            </w:pPr>
            <w:r>
              <w:rPr>
                <w:rFonts w:ascii="宋体" w:hAnsi="宋体"/>
              </w:rPr>
              <w:t>L</w:t>
            </w:r>
          </w:p>
        </w:tc>
        <w:tc>
          <w:tcPr>
            <w:tcW w:w="4651" w:type="dxa"/>
            <w:tcBorders>
              <w:bottom w:val="single" w:color="auto" w:sz="12" w:space="0"/>
            </w:tcBorders>
            <w:vAlign w:val="center"/>
          </w:tcPr>
          <w:p w14:paraId="5548DCDE">
            <w:pPr>
              <w:pStyle w:val="17"/>
              <w:jc w:val="left"/>
              <w:rPr>
                <w:rFonts w:ascii="宋体" w:hAnsi="宋体"/>
              </w:rPr>
            </w:pPr>
            <w:r>
              <w:rPr>
                <w:rFonts w:ascii="宋体" w:hAnsi="宋体"/>
              </w:rPr>
              <w:t>4.具有在护理专业实践中有效沟通与合作的能力。能运用人际沟通技巧有效跟病人开展安全教育。</w:t>
            </w:r>
          </w:p>
        </w:tc>
        <w:tc>
          <w:tcPr>
            <w:tcW w:w="1316" w:type="dxa"/>
            <w:tcBorders>
              <w:bottom w:val="single" w:color="auto" w:sz="12" w:space="0"/>
              <w:right w:val="single" w:color="auto" w:sz="12" w:space="0"/>
            </w:tcBorders>
            <w:vAlign w:val="center"/>
          </w:tcPr>
          <w:p w14:paraId="674E1DAB">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bl>
    <w:p w14:paraId="1A85F608">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03C4BF4">
      <w:pPr>
        <w:pStyle w:val="20"/>
        <w:spacing w:before="81" w:after="163"/>
      </w:pPr>
      <w:r>
        <w:rPr>
          <w:rFonts w:hint="eastAsia"/>
        </w:rPr>
        <w:t>（一）各教学单元预期学习成果与教学内容</w:t>
      </w:r>
    </w:p>
    <w:tbl>
      <w:tblPr>
        <w:tblStyle w:val="9"/>
        <w:tblW w:w="486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38"/>
        <w:gridCol w:w="747"/>
        <w:gridCol w:w="2104"/>
        <w:gridCol w:w="2239"/>
        <w:gridCol w:w="1455"/>
        <w:gridCol w:w="1311"/>
      </w:tblGrid>
      <w:tr w14:paraId="182B40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264" w:type="pct"/>
            <w:vAlign w:val="center"/>
          </w:tcPr>
          <w:p w14:paraId="443A8836">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序号</w:t>
            </w:r>
          </w:p>
        </w:tc>
        <w:tc>
          <w:tcPr>
            <w:tcW w:w="450" w:type="pct"/>
            <w:vAlign w:val="center"/>
          </w:tcPr>
          <w:p w14:paraId="14885EC7">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单元名称</w:t>
            </w:r>
          </w:p>
        </w:tc>
        <w:tc>
          <w:tcPr>
            <w:tcW w:w="1268" w:type="pct"/>
            <w:vAlign w:val="center"/>
          </w:tcPr>
          <w:p w14:paraId="4EA8C5FE">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知识目标</w:t>
            </w:r>
          </w:p>
        </w:tc>
        <w:tc>
          <w:tcPr>
            <w:tcW w:w="1349" w:type="pct"/>
            <w:vAlign w:val="center"/>
          </w:tcPr>
          <w:p w14:paraId="3BC088FA">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技能目标</w:t>
            </w:r>
          </w:p>
        </w:tc>
        <w:tc>
          <w:tcPr>
            <w:tcW w:w="877" w:type="pct"/>
            <w:vAlign w:val="center"/>
          </w:tcPr>
          <w:p w14:paraId="6453A148">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素养目标</w:t>
            </w:r>
          </w:p>
        </w:tc>
        <w:tc>
          <w:tcPr>
            <w:tcW w:w="790" w:type="pct"/>
            <w:vAlign w:val="center"/>
          </w:tcPr>
          <w:p w14:paraId="775F256A">
            <w:pPr>
              <w:widowControl w:val="0"/>
              <w:snapToGrid w:val="0"/>
              <w:spacing w:line="288" w:lineRule="auto"/>
              <w:jc w:val="center"/>
              <w:rPr>
                <w:rFonts w:hAnsi="Times New Roman" w:cs="Times New Roman"/>
                <w:b/>
                <w:color w:val="000000"/>
                <w:kern w:val="2"/>
                <w:sz w:val="21"/>
                <w:szCs w:val="21"/>
              </w:rPr>
            </w:pPr>
            <w:r>
              <w:rPr>
                <w:rFonts w:hint="eastAsia" w:cs="Times New Roman"/>
                <w:b/>
                <w:color w:val="000000"/>
                <w:kern w:val="2"/>
                <w:sz w:val="21"/>
                <w:szCs w:val="21"/>
              </w:rPr>
              <w:t>教学重点与难点</w:t>
            </w:r>
          </w:p>
        </w:tc>
      </w:tr>
      <w:tr w14:paraId="01BC84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64" w:type="pct"/>
            <w:vAlign w:val="center"/>
          </w:tcPr>
          <w:p w14:paraId="4E5D1FB6">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w:t>
            </w:r>
          </w:p>
        </w:tc>
        <w:tc>
          <w:tcPr>
            <w:tcW w:w="450" w:type="pct"/>
            <w:vAlign w:val="center"/>
          </w:tcPr>
          <w:p w14:paraId="6596746A">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绪论</w:t>
            </w:r>
            <w:r>
              <w:rPr>
                <w:rFonts w:cs="Times New Roman"/>
                <w:color w:val="000000"/>
                <w:kern w:val="2"/>
                <w:sz w:val="21"/>
                <w:szCs w:val="21"/>
              </w:rPr>
              <w:t xml:space="preserve"> </w:t>
            </w:r>
          </w:p>
        </w:tc>
        <w:tc>
          <w:tcPr>
            <w:tcW w:w="1268" w:type="pct"/>
          </w:tcPr>
          <w:p w14:paraId="57FCE48B">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1.知道病人安全、不良事件的相关概念；</w:t>
            </w:r>
          </w:p>
          <w:p w14:paraId="1BD880C4">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2.分析国内外病人安全教育状况；</w:t>
            </w:r>
          </w:p>
          <w:p w14:paraId="5BD091A1">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3.理解医学生病人安全教育的意义。</w:t>
            </w:r>
          </w:p>
          <w:p w14:paraId="6B6FB0B1">
            <w:pPr>
              <w:widowControl w:val="0"/>
              <w:snapToGrid w:val="0"/>
              <w:spacing w:line="288" w:lineRule="auto"/>
              <w:rPr>
                <w:rFonts w:cs="Times New Roman"/>
                <w:color w:val="000000"/>
                <w:kern w:val="2"/>
                <w:sz w:val="21"/>
                <w:szCs w:val="21"/>
              </w:rPr>
            </w:pPr>
          </w:p>
        </w:tc>
        <w:tc>
          <w:tcPr>
            <w:tcW w:w="1349" w:type="pct"/>
          </w:tcPr>
          <w:p w14:paraId="36DA6306">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1.能说出W</w:t>
            </w:r>
            <w:r>
              <w:rPr>
                <w:rFonts w:cs="Times New Roman"/>
                <w:color w:val="000000"/>
                <w:kern w:val="2"/>
                <w:sz w:val="21"/>
                <w:szCs w:val="21"/>
              </w:rPr>
              <w:t>HO</w:t>
            </w:r>
            <w:r>
              <w:rPr>
                <w:rFonts w:hint="eastAsia" w:cs="Times New Roman"/>
                <w:color w:val="000000"/>
                <w:kern w:val="2"/>
                <w:sz w:val="21"/>
                <w:szCs w:val="21"/>
              </w:rPr>
              <w:t>对病人安全的解释、护理不良事件的概念；</w:t>
            </w:r>
          </w:p>
          <w:p w14:paraId="7315A63B">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2.能描述医学本科生病人安全教育指南的1</w:t>
            </w:r>
            <w:r>
              <w:rPr>
                <w:rFonts w:cs="Times New Roman"/>
                <w:color w:val="000000"/>
                <w:kern w:val="2"/>
                <w:sz w:val="21"/>
                <w:szCs w:val="21"/>
              </w:rPr>
              <w:t>1</w:t>
            </w:r>
            <w:r>
              <w:rPr>
                <w:rFonts w:hint="eastAsia" w:cs="Times New Roman"/>
                <w:color w:val="000000"/>
                <w:kern w:val="2"/>
                <w:sz w:val="21"/>
                <w:szCs w:val="21"/>
              </w:rPr>
              <w:t>个课题；</w:t>
            </w:r>
          </w:p>
          <w:p w14:paraId="20972976">
            <w:pPr>
              <w:widowControl w:val="0"/>
              <w:snapToGrid w:val="0"/>
              <w:spacing w:line="288" w:lineRule="auto"/>
              <w:rPr>
                <w:rFonts w:cs="Times New Roman"/>
                <w:color w:val="000000"/>
                <w:kern w:val="2"/>
                <w:sz w:val="21"/>
                <w:szCs w:val="21"/>
              </w:rPr>
            </w:pPr>
            <w:r>
              <w:rPr>
                <w:rFonts w:cs="Times New Roman"/>
                <w:color w:val="000000"/>
                <w:kern w:val="2"/>
                <w:sz w:val="21"/>
                <w:szCs w:val="21"/>
              </w:rPr>
              <w:t>3.</w:t>
            </w:r>
            <w:r>
              <w:rPr>
                <w:rFonts w:hint="eastAsia" w:cs="Times New Roman"/>
                <w:color w:val="000000"/>
                <w:kern w:val="2"/>
                <w:sz w:val="21"/>
                <w:szCs w:val="21"/>
              </w:rPr>
              <w:t>能说出病人安全护理研究的内容；</w:t>
            </w:r>
          </w:p>
          <w:p w14:paraId="621E4970">
            <w:pPr>
              <w:widowControl w:val="0"/>
              <w:snapToGrid w:val="0"/>
              <w:spacing w:line="288" w:lineRule="auto"/>
              <w:rPr>
                <w:rFonts w:cs="Times New Roman"/>
                <w:color w:val="000000"/>
                <w:kern w:val="2"/>
                <w:sz w:val="21"/>
                <w:szCs w:val="21"/>
              </w:rPr>
            </w:pPr>
          </w:p>
        </w:tc>
        <w:tc>
          <w:tcPr>
            <w:tcW w:w="877" w:type="pct"/>
          </w:tcPr>
          <w:p w14:paraId="3EF44905">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1.在校学习期间接受病人安全的理念、原则和措施作为医学教育的内容，为临床医疗护理服务实践做好准备。</w:t>
            </w:r>
          </w:p>
          <w:p w14:paraId="3CA21DE8">
            <w:pPr>
              <w:widowControl w:val="0"/>
              <w:snapToGrid w:val="0"/>
              <w:spacing w:line="288" w:lineRule="auto"/>
              <w:rPr>
                <w:rFonts w:cs="Times New Roman"/>
                <w:color w:val="000000"/>
                <w:kern w:val="2"/>
                <w:sz w:val="21"/>
                <w:szCs w:val="21"/>
              </w:rPr>
            </w:pPr>
          </w:p>
        </w:tc>
        <w:tc>
          <w:tcPr>
            <w:tcW w:w="790" w:type="pct"/>
          </w:tcPr>
          <w:p w14:paraId="326225FF">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1.病人安全、不良事件的相关概念的理解；</w:t>
            </w:r>
          </w:p>
          <w:p w14:paraId="7A5883DF">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w:t>
            </w:r>
            <w:r>
              <w:rPr>
                <w:rFonts w:cs="Times New Roman"/>
                <w:color w:val="000000"/>
                <w:kern w:val="2"/>
                <w:sz w:val="21"/>
                <w:szCs w:val="21"/>
              </w:rPr>
              <w:t>.</w:t>
            </w:r>
            <w:r>
              <w:rPr>
                <w:rFonts w:hint="eastAsia" w:cs="Times New Roman"/>
                <w:color w:val="000000"/>
                <w:kern w:val="2"/>
                <w:sz w:val="21"/>
                <w:szCs w:val="21"/>
              </w:rPr>
              <w:t>病人安全护理的研究。</w:t>
            </w:r>
          </w:p>
          <w:p w14:paraId="30C7F2DB">
            <w:pPr>
              <w:widowControl w:val="0"/>
              <w:snapToGrid w:val="0"/>
              <w:spacing w:line="288" w:lineRule="auto"/>
              <w:rPr>
                <w:rFonts w:cs="Times New Roman"/>
                <w:color w:val="000000"/>
                <w:kern w:val="2"/>
                <w:sz w:val="21"/>
                <w:szCs w:val="21"/>
              </w:rPr>
            </w:pPr>
          </w:p>
        </w:tc>
      </w:tr>
      <w:tr w14:paraId="6EFBFD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264" w:type="pct"/>
            <w:vAlign w:val="center"/>
          </w:tcPr>
          <w:p w14:paraId="382CD937">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2</w:t>
            </w:r>
          </w:p>
        </w:tc>
        <w:tc>
          <w:tcPr>
            <w:tcW w:w="450" w:type="pct"/>
            <w:vAlign w:val="center"/>
          </w:tcPr>
          <w:p w14:paraId="2B95D8E4">
            <w:pPr>
              <w:widowControl w:val="0"/>
              <w:snapToGrid w:val="0"/>
              <w:spacing w:line="288" w:lineRule="auto"/>
              <w:jc w:val="both"/>
              <w:rPr>
                <w:rFonts w:cs="Times New Roman"/>
                <w:kern w:val="2"/>
                <w:sz w:val="21"/>
                <w:szCs w:val="21"/>
              </w:rPr>
            </w:pPr>
            <w:r>
              <w:rPr>
                <w:rFonts w:hint="eastAsia" w:cs="Times New Roman"/>
                <w:kern w:val="2"/>
                <w:sz w:val="21"/>
                <w:szCs w:val="21"/>
              </w:rPr>
              <w:t>病人安全管理组织与团队</w:t>
            </w:r>
          </w:p>
        </w:tc>
        <w:tc>
          <w:tcPr>
            <w:tcW w:w="1268" w:type="pct"/>
          </w:tcPr>
          <w:p w14:paraId="2EAE7F5E">
            <w:pPr>
              <w:widowControl w:val="0"/>
              <w:snapToGrid w:val="0"/>
              <w:spacing w:line="288" w:lineRule="auto"/>
              <w:jc w:val="both"/>
              <w:rPr>
                <w:rFonts w:cs="Times New Roman"/>
                <w:kern w:val="2"/>
                <w:sz w:val="21"/>
                <w:szCs w:val="21"/>
              </w:rPr>
            </w:pPr>
            <w:r>
              <w:rPr>
                <w:rFonts w:hint="eastAsia" w:cs="Times New Roman"/>
                <w:kern w:val="2"/>
                <w:sz w:val="21"/>
                <w:szCs w:val="21"/>
              </w:rPr>
              <w:t>1.知道医疗安全、医疗安全管理、护理安全、护理安全管理的概念；</w:t>
            </w:r>
          </w:p>
          <w:p w14:paraId="7758F922">
            <w:pPr>
              <w:widowControl w:val="0"/>
              <w:snapToGrid w:val="0"/>
              <w:spacing w:line="288" w:lineRule="auto"/>
              <w:jc w:val="both"/>
              <w:rPr>
                <w:rFonts w:cs="Times New Roman"/>
                <w:kern w:val="2"/>
                <w:sz w:val="21"/>
                <w:szCs w:val="21"/>
              </w:rPr>
            </w:pPr>
            <w:r>
              <w:rPr>
                <w:rFonts w:hint="eastAsia" w:cs="Times New Roman"/>
                <w:kern w:val="2"/>
                <w:sz w:val="21"/>
                <w:szCs w:val="21"/>
              </w:rPr>
              <w:t>2.分析护理风险产生的原因及控制的主要措施；</w:t>
            </w:r>
          </w:p>
          <w:p w14:paraId="2B5A9233">
            <w:pPr>
              <w:widowControl w:val="0"/>
              <w:snapToGrid w:val="0"/>
              <w:spacing w:line="288" w:lineRule="auto"/>
              <w:jc w:val="both"/>
              <w:rPr>
                <w:rFonts w:cs="Times New Roman"/>
                <w:kern w:val="2"/>
                <w:sz w:val="21"/>
                <w:szCs w:val="21"/>
              </w:rPr>
            </w:pPr>
            <w:r>
              <w:rPr>
                <w:rFonts w:cs="Times New Roman"/>
                <w:kern w:val="2"/>
                <w:sz w:val="21"/>
                <w:szCs w:val="21"/>
              </w:rPr>
              <w:t>3.</w:t>
            </w:r>
            <w:r>
              <w:rPr>
                <w:rFonts w:hint="eastAsia" w:cs="Times New Roman"/>
                <w:kern w:val="2"/>
                <w:sz w:val="21"/>
                <w:szCs w:val="21"/>
              </w:rPr>
              <w:t>理解团队的概念及成功卫生保健团队的特点。</w:t>
            </w:r>
          </w:p>
          <w:p w14:paraId="4CA78A50">
            <w:pPr>
              <w:widowControl w:val="0"/>
              <w:snapToGrid w:val="0"/>
              <w:spacing w:line="288" w:lineRule="auto"/>
              <w:jc w:val="both"/>
              <w:rPr>
                <w:rFonts w:cs="Times New Roman"/>
                <w:kern w:val="2"/>
                <w:sz w:val="21"/>
                <w:szCs w:val="21"/>
              </w:rPr>
            </w:pPr>
          </w:p>
        </w:tc>
        <w:tc>
          <w:tcPr>
            <w:tcW w:w="1349" w:type="pct"/>
          </w:tcPr>
          <w:p w14:paraId="52720C75">
            <w:pPr>
              <w:widowControl w:val="0"/>
              <w:snapToGrid w:val="0"/>
              <w:spacing w:line="288" w:lineRule="auto"/>
              <w:jc w:val="both"/>
              <w:rPr>
                <w:rFonts w:cs="Times New Roman"/>
                <w:kern w:val="2"/>
                <w:sz w:val="21"/>
                <w:szCs w:val="21"/>
              </w:rPr>
            </w:pPr>
            <w:r>
              <w:rPr>
                <w:rFonts w:hint="eastAsia" w:cs="Times New Roman"/>
                <w:kern w:val="2"/>
                <w:sz w:val="21"/>
                <w:szCs w:val="21"/>
              </w:rPr>
              <w:t>1.能说出护理安全的概念；能分析护理风险产生的原因及护理风险控制的主要措施；</w:t>
            </w:r>
          </w:p>
          <w:p w14:paraId="7C54C5D5">
            <w:pPr>
              <w:widowControl w:val="0"/>
              <w:snapToGrid w:val="0"/>
              <w:spacing w:line="288" w:lineRule="auto"/>
              <w:jc w:val="both"/>
              <w:rPr>
                <w:rFonts w:cs="Times New Roman"/>
                <w:kern w:val="2"/>
                <w:sz w:val="21"/>
                <w:szCs w:val="21"/>
              </w:rPr>
            </w:pPr>
            <w:r>
              <w:rPr>
                <w:rFonts w:hint="eastAsia" w:cs="Times New Roman"/>
                <w:kern w:val="2"/>
                <w:sz w:val="21"/>
                <w:szCs w:val="21"/>
              </w:rPr>
              <w:t>2.能够运用护理风险管理程序；</w:t>
            </w:r>
          </w:p>
          <w:p w14:paraId="5B367AB5">
            <w:pPr>
              <w:widowControl w:val="0"/>
              <w:snapToGrid w:val="0"/>
              <w:spacing w:line="288" w:lineRule="auto"/>
              <w:jc w:val="both"/>
              <w:rPr>
                <w:rFonts w:cs="Times New Roman"/>
                <w:kern w:val="2"/>
                <w:sz w:val="21"/>
                <w:szCs w:val="21"/>
              </w:rPr>
            </w:pPr>
            <w:r>
              <w:rPr>
                <w:rFonts w:hint="eastAsia" w:cs="Times New Roman"/>
                <w:kern w:val="2"/>
                <w:sz w:val="21"/>
                <w:szCs w:val="21"/>
              </w:rPr>
              <w:t>3.能理解成功卫生保健团队的特点</w:t>
            </w:r>
          </w:p>
          <w:p w14:paraId="540E552F">
            <w:pPr>
              <w:widowControl w:val="0"/>
              <w:snapToGrid w:val="0"/>
              <w:spacing w:line="288" w:lineRule="auto"/>
              <w:jc w:val="both"/>
              <w:rPr>
                <w:rFonts w:cs="Times New Roman"/>
                <w:kern w:val="2"/>
                <w:sz w:val="21"/>
                <w:szCs w:val="21"/>
              </w:rPr>
            </w:pPr>
          </w:p>
        </w:tc>
        <w:tc>
          <w:tcPr>
            <w:tcW w:w="877" w:type="pct"/>
          </w:tcPr>
          <w:p w14:paraId="44E6C756">
            <w:pPr>
              <w:widowControl w:val="0"/>
              <w:snapToGrid w:val="0"/>
              <w:spacing w:line="288" w:lineRule="auto"/>
              <w:jc w:val="both"/>
              <w:rPr>
                <w:rFonts w:cs="Times New Roman"/>
                <w:kern w:val="2"/>
                <w:sz w:val="21"/>
                <w:szCs w:val="21"/>
              </w:rPr>
            </w:pPr>
            <w:r>
              <w:rPr>
                <w:rFonts w:hint="eastAsia" w:cs="Times New Roman"/>
                <w:kern w:val="2"/>
                <w:sz w:val="21"/>
                <w:szCs w:val="21"/>
              </w:rPr>
              <w:t>1.培养多学科团队合作意识。</w:t>
            </w:r>
          </w:p>
          <w:p w14:paraId="647A1138">
            <w:pPr>
              <w:widowControl w:val="0"/>
              <w:snapToGrid w:val="0"/>
              <w:spacing w:line="288" w:lineRule="auto"/>
              <w:jc w:val="both"/>
              <w:rPr>
                <w:rFonts w:cs="Times New Roman"/>
                <w:kern w:val="2"/>
                <w:sz w:val="21"/>
                <w:szCs w:val="21"/>
              </w:rPr>
            </w:pPr>
          </w:p>
          <w:p w14:paraId="39F38F86">
            <w:pPr>
              <w:widowControl w:val="0"/>
              <w:snapToGrid w:val="0"/>
              <w:spacing w:line="288" w:lineRule="auto"/>
              <w:jc w:val="both"/>
              <w:rPr>
                <w:rFonts w:cs="Times New Roman"/>
                <w:kern w:val="2"/>
                <w:sz w:val="21"/>
                <w:szCs w:val="21"/>
              </w:rPr>
            </w:pPr>
          </w:p>
        </w:tc>
        <w:tc>
          <w:tcPr>
            <w:tcW w:w="790" w:type="pct"/>
          </w:tcPr>
          <w:p w14:paraId="4FD5DD06">
            <w:pPr>
              <w:widowControl w:val="0"/>
              <w:snapToGrid w:val="0"/>
              <w:spacing w:line="288" w:lineRule="auto"/>
              <w:jc w:val="both"/>
              <w:rPr>
                <w:rFonts w:cs="Times New Roman"/>
                <w:kern w:val="2"/>
                <w:sz w:val="21"/>
                <w:szCs w:val="21"/>
              </w:rPr>
            </w:pPr>
            <w:r>
              <w:rPr>
                <w:rFonts w:hint="eastAsia" w:cs="Times New Roman"/>
                <w:kern w:val="2"/>
                <w:sz w:val="21"/>
                <w:szCs w:val="21"/>
              </w:rPr>
              <w:t>1.护理风险产生原因的认识；</w:t>
            </w:r>
          </w:p>
          <w:p w14:paraId="5A8D04BF">
            <w:pPr>
              <w:widowControl w:val="0"/>
              <w:snapToGrid w:val="0"/>
              <w:spacing w:line="288" w:lineRule="auto"/>
              <w:jc w:val="both"/>
              <w:rPr>
                <w:rFonts w:hAnsi="Times New Roman" w:cs="Times New Roman"/>
                <w:b/>
                <w:color w:val="000000"/>
                <w:kern w:val="2"/>
                <w:sz w:val="21"/>
                <w:szCs w:val="21"/>
              </w:rPr>
            </w:pPr>
            <w:r>
              <w:rPr>
                <w:rFonts w:hint="eastAsia" w:cs="Times New Roman"/>
                <w:kern w:val="2"/>
                <w:sz w:val="21"/>
                <w:szCs w:val="21"/>
              </w:rPr>
              <w:t>2.有效团队合作作用的认识。</w:t>
            </w:r>
          </w:p>
        </w:tc>
      </w:tr>
      <w:tr w14:paraId="19894B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264" w:type="pct"/>
            <w:vAlign w:val="center"/>
          </w:tcPr>
          <w:p w14:paraId="5446BF08">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3</w:t>
            </w:r>
          </w:p>
        </w:tc>
        <w:tc>
          <w:tcPr>
            <w:tcW w:w="450" w:type="pct"/>
            <w:vAlign w:val="center"/>
          </w:tcPr>
          <w:p w14:paraId="391B7524">
            <w:pPr>
              <w:widowControl w:val="0"/>
              <w:snapToGrid w:val="0"/>
              <w:spacing w:line="288" w:lineRule="auto"/>
              <w:jc w:val="both"/>
              <w:rPr>
                <w:rFonts w:cs="Times New Roman"/>
                <w:kern w:val="2"/>
                <w:sz w:val="21"/>
                <w:szCs w:val="21"/>
              </w:rPr>
            </w:pPr>
            <w:r>
              <w:rPr>
                <w:rFonts w:hint="eastAsia" w:cs="Times New Roman"/>
                <w:kern w:val="2"/>
                <w:sz w:val="21"/>
                <w:szCs w:val="21"/>
              </w:rPr>
              <w:t>人为因素工程学与病人安全</w:t>
            </w:r>
          </w:p>
        </w:tc>
        <w:tc>
          <w:tcPr>
            <w:tcW w:w="1268" w:type="pct"/>
          </w:tcPr>
          <w:p w14:paraId="6D69BABF">
            <w:pPr>
              <w:widowControl w:val="0"/>
              <w:snapToGrid w:val="0"/>
              <w:spacing w:line="288" w:lineRule="auto"/>
              <w:rPr>
                <w:rFonts w:cs="Times New Roman"/>
                <w:kern w:val="2"/>
                <w:sz w:val="21"/>
                <w:szCs w:val="21"/>
              </w:rPr>
            </w:pPr>
            <w:r>
              <w:rPr>
                <w:rFonts w:hint="eastAsia" w:cs="Times New Roman"/>
                <w:kern w:val="2"/>
                <w:sz w:val="21"/>
                <w:szCs w:val="21"/>
              </w:rPr>
              <w:t>1.知道人因工程学的概念；分析护理工作中的不安全因素；了解容易导致犯错的个人因素；</w:t>
            </w:r>
          </w:p>
          <w:p w14:paraId="0C2E14F8">
            <w:pPr>
              <w:widowControl w:val="0"/>
              <w:snapToGrid w:val="0"/>
              <w:spacing w:line="288" w:lineRule="auto"/>
              <w:rPr>
                <w:rFonts w:cs="Times New Roman"/>
                <w:kern w:val="2"/>
                <w:sz w:val="21"/>
                <w:szCs w:val="21"/>
              </w:rPr>
            </w:pPr>
            <w:r>
              <w:rPr>
                <w:rFonts w:hint="eastAsia" w:cs="Times New Roman"/>
                <w:kern w:val="2"/>
                <w:sz w:val="21"/>
                <w:szCs w:val="21"/>
              </w:rPr>
              <w:t>2.评价管理疲劳与压力；</w:t>
            </w:r>
          </w:p>
          <w:p w14:paraId="5EE73101">
            <w:pPr>
              <w:widowControl w:val="0"/>
              <w:snapToGrid w:val="0"/>
              <w:spacing w:line="288" w:lineRule="auto"/>
              <w:rPr>
                <w:rFonts w:cs="Times New Roman"/>
                <w:kern w:val="2"/>
                <w:sz w:val="21"/>
                <w:szCs w:val="21"/>
              </w:rPr>
            </w:pPr>
          </w:p>
          <w:p w14:paraId="664FD511">
            <w:pPr>
              <w:widowControl w:val="0"/>
              <w:snapToGrid w:val="0"/>
              <w:spacing w:line="288" w:lineRule="auto"/>
              <w:rPr>
                <w:rFonts w:cs="Times New Roman"/>
                <w:kern w:val="2"/>
                <w:sz w:val="21"/>
                <w:szCs w:val="21"/>
              </w:rPr>
            </w:pPr>
          </w:p>
        </w:tc>
        <w:tc>
          <w:tcPr>
            <w:tcW w:w="1349" w:type="pct"/>
          </w:tcPr>
          <w:p w14:paraId="1FADE7FC">
            <w:pPr>
              <w:widowControl w:val="0"/>
              <w:snapToGrid w:val="0"/>
              <w:spacing w:line="288" w:lineRule="auto"/>
              <w:jc w:val="both"/>
              <w:rPr>
                <w:rFonts w:cs="Times New Roman"/>
                <w:kern w:val="2"/>
                <w:sz w:val="21"/>
                <w:szCs w:val="21"/>
              </w:rPr>
            </w:pPr>
            <w:r>
              <w:rPr>
                <w:rFonts w:hint="eastAsia" w:cs="Times New Roman"/>
                <w:kern w:val="2"/>
                <w:sz w:val="21"/>
                <w:szCs w:val="21"/>
              </w:rPr>
              <w:t>1.能分析实习学生存在的不安全因素及提高学生安全意识的应对措施；</w:t>
            </w:r>
          </w:p>
          <w:p w14:paraId="6DA97D38">
            <w:pPr>
              <w:widowControl w:val="0"/>
              <w:snapToGrid w:val="0"/>
              <w:spacing w:line="288" w:lineRule="auto"/>
              <w:jc w:val="both"/>
              <w:rPr>
                <w:rFonts w:cs="Times New Roman"/>
                <w:kern w:val="2"/>
                <w:sz w:val="21"/>
                <w:szCs w:val="21"/>
              </w:rPr>
            </w:pPr>
            <w:r>
              <w:rPr>
                <w:rFonts w:hint="eastAsia" w:cs="Times New Roman"/>
                <w:kern w:val="2"/>
                <w:sz w:val="21"/>
                <w:szCs w:val="21"/>
              </w:rPr>
              <w:t>2.能说出常用自我状态监控的工具；</w:t>
            </w:r>
          </w:p>
          <w:p w14:paraId="1A35C2E9">
            <w:pPr>
              <w:widowControl w:val="0"/>
              <w:snapToGrid w:val="0"/>
              <w:spacing w:line="288" w:lineRule="auto"/>
              <w:jc w:val="both"/>
              <w:rPr>
                <w:rFonts w:cs="Times New Roman"/>
                <w:kern w:val="2"/>
                <w:sz w:val="21"/>
                <w:szCs w:val="21"/>
              </w:rPr>
            </w:pPr>
          </w:p>
        </w:tc>
        <w:tc>
          <w:tcPr>
            <w:tcW w:w="877" w:type="pct"/>
          </w:tcPr>
          <w:p w14:paraId="1B8317F9">
            <w:pPr>
              <w:widowControl w:val="0"/>
              <w:snapToGrid w:val="0"/>
              <w:spacing w:line="288" w:lineRule="auto"/>
              <w:jc w:val="both"/>
              <w:rPr>
                <w:rFonts w:cs="Times New Roman"/>
                <w:kern w:val="2"/>
                <w:sz w:val="21"/>
                <w:szCs w:val="21"/>
              </w:rPr>
            </w:pPr>
            <w:r>
              <w:rPr>
                <w:rFonts w:hint="eastAsia" w:cs="Times New Roman"/>
                <w:kern w:val="2"/>
                <w:sz w:val="21"/>
                <w:szCs w:val="21"/>
              </w:rPr>
              <w:t>培养运用人因工程学思维方式构建科学的管理模式。</w:t>
            </w:r>
          </w:p>
        </w:tc>
        <w:tc>
          <w:tcPr>
            <w:tcW w:w="790" w:type="pct"/>
          </w:tcPr>
          <w:p w14:paraId="0F3B6F32">
            <w:pPr>
              <w:widowControl w:val="0"/>
              <w:snapToGrid w:val="0"/>
              <w:spacing w:line="288" w:lineRule="auto"/>
              <w:jc w:val="both"/>
              <w:rPr>
                <w:rFonts w:cs="Times New Roman"/>
                <w:kern w:val="2"/>
                <w:sz w:val="21"/>
                <w:szCs w:val="21"/>
              </w:rPr>
            </w:pPr>
            <w:r>
              <w:rPr>
                <w:rFonts w:hint="eastAsia" w:cs="Times New Roman"/>
                <w:kern w:val="2"/>
                <w:sz w:val="21"/>
                <w:szCs w:val="21"/>
              </w:rPr>
              <w:t>1.护理工作中的不安全因素的认识；</w:t>
            </w:r>
          </w:p>
          <w:p w14:paraId="76258C6E">
            <w:pPr>
              <w:widowControl w:val="0"/>
              <w:snapToGrid w:val="0"/>
              <w:spacing w:line="288" w:lineRule="auto"/>
              <w:jc w:val="both"/>
              <w:rPr>
                <w:rFonts w:cs="Times New Roman"/>
                <w:kern w:val="2"/>
                <w:sz w:val="21"/>
                <w:szCs w:val="21"/>
              </w:rPr>
            </w:pPr>
            <w:r>
              <w:rPr>
                <w:rFonts w:hint="eastAsia" w:cs="Times New Roman"/>
                <w:kern w:val="2"/>
                <w:sz w:val="21"/>
                <w:szCs w:val="21"/>
              </w:rPr>
              <w:t>2.健全科学的人因工程措施的探究。</w:t>
            </w:r>
          </w:p>
        </w:tc>
      </w:tr>
      <w:tr w14:paraId="1EE9A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264" w:type="pct"/>
            <w:vAlign w:val="center"/>
          </w:tcPr>
          <w:p w14:paraId="432DCA6B">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4</w:t>
            </w:r>
          </w:p>
        </w:tc>
        <w:tc>
          <w:tcPr>
            <w:tcW w:w="450" w:type="pct"/>
            <w:vAlign w:val="center"/>
          </w:tcPr>
          <w:p w14:paraId="4EBB47A2">
            <w:pPr>
              <w:widowControl w:val="0"/>
              <w:snapToGrid w:val="0"/>
              <w:spacing w:line="288" w:lineRule="auto"/>
              <w:jc w:val="both"/>
              <w:rPr>
                <w:rFonts w:cs="Times New Roman"/>
                <w:kern w:val="2"/>
                <w:sz w:val="21"/>
                <w:szCs w:val="21"/>
              </w:rPr>
            </w:pPr>
            <w:r>
              <w:rPr>
                <w:rFonts w:hint="eastAsia" w:cs="Times New Roman"/>
                <w:kern w:val="2"/>
                <w:sz w:val="21"/>
                <w:szCs w:val="21"/>
              </w:rPr>
              <w:t>病人安全文化</w:t>
            </w:r>
          </w:p>
        </w:tc>
        <w:tc>
          <w:tcPr>
            <w:tcW w:w="1268" w:type="pct"/>
          </w:tcPr>
          <w:p w14:paraId="01B7E6C0">
            <w:pPr>
              <w:widowControl w:val="0"/>
              <w:snapToGrid w:val="0"/>
              <w:spacing w:line="288" w:lineRule="auto"/>
              <w:jc w:val="both"/>
              <w:rPr>
                <w:rFonts w:cs="Times New Roman"/>
                <w:kern w:val="2"/>
                <w:sz w:val="21"/>
                <w:szCs w:val="21"/>
              </w:rPr>
            </w:pPr>
            <w:r>
              <w:rPr>
                <w:rFonts w:hint="eastAsia" w:cs="Times New Roman"/>
                <w:kern w:val="2"/>
                <w:sz w:val="21"/>
                <w:szCs w:val="21"/>
              </w:rPr>
              <w:t>1.理解病人安全文化的概念和特征；</w:t>
            </w:r>
          </w:p>
          <w:p w14:paraId="071BFF83">
            <w:pPr>
              <w:widowControl w:val="0"/>
              <w:snapToGrid w:val="0"/>
              <w:spacing w:line="288" w:lineRule="auto"/>
              <w:jc w:val="both"/>
              <w:rPr>
                <w:rFonts w:cs="Times New Roman"/>
                <w:kern w:val="2"/>
                <w:sz w:val="21"/>
                <w:szCs w:val="21"/>
              </w:rPr>
            </w:pPr>
            <w:r>
              <w:rPr>
                <w:rFonts w:hint="eastAsia" w:cs="Times New Roman"/>
                <w:kern w:val="2"/>
                <w:sz w:val="21"/>
                <w:szCs w:val="21"/>
              </w:rPr>
              <w:t>2.分析传统观念与安全文化观念对待错误的观念与做法；</w:t>
            </w:r>
          </w:p>
          <w:p w14:paraId="5825FB10">
            <w:pPr>
              <w:widowControl w:val="0"/>
              <w:snapToGrid w:val="0"/>
              <w:spacing w:line="288" w:lineRule="auto"/>
              <w:jc w:val="both"/>
              <w:rPr>
                <w:rFonts w:cs="Times New Roman"/>
                <w:kern w:val="2"/>
                <w:sz w:val="21"/>
                <w:szCs w:val="21"/>
              </w:rPr>
            </w:pPr>
            <w:r>
              <w:rPr>
                <w:rFonts w:cs="Times New Roman"/>
                <w:kern w:val="2"/>
                <w:sz w:val="21"/>
                <w:szCs w:val="21"/>
              </w:rPr>
              <w:t>3.</w:t>
            </w:r>
            <w:r>
              <w:rPr>
                <w:rFonts w:hint="eastAsia" w:cs="Times New Roman"/>
                <w:kern w:val="2"/>
                <w:sz w:val="21"/>
                <w:szCs w:val="21"/>
              </w:rPr>
              <w:t>理解不良事件报告的意义与原则。</w:t>
            </w:r>
          </w:p>
          <w:p w14:paraId="441D87AB">
            <w:pPr>
              <w:widowControl w:val="0"/>
              <w:snapToGrid w:val="0"/>
              <w:spacing w:line="288" w:lineRule="auto"/>
              <w:jc w:val="both"/>
              <w:rPr>
                <w:rFonts w:cs="Times New Roman"/>
                <w:kern w:val="2"/>
                <w:sz w:val="21"/>
                <w:szCs w:val="21"/>
              </w:rPr>
            </w:pPr>
          </w:p>
        </w:tc>
        <w:tc>
          <w:tcPr>
            <w:tcW w:w="1349" w:type="pct"/>
          </w:tcPr>
          <w:p w14:paraId="3BEA8722">
            <w:pPr>
              <w:widowControl w:val="0"/>
              <w:snapToGrid w:val="0"/>
              <w:spacing w:line="288" w:lineRule="auto"/>
              <w:jc w:val="both"/>
              <w:rPr>
                <w:rFonts w:cs="Times New Roman"/>
                <w:kern w:val="2"/>
                <w:sz w:val="21"/>
                <w:szCs w:val="21"/>
              </w:rPr>
            </w:pPr>
            <w:r>
              <w:rPr>
                <w:rFonts w:hint="eastAsia" w:cs="Times New Roman"/>
                <w:kern w:val="2"/>
                <w:sz w:val="21"/>
                <w:szCs w:val="21"/>
              </w:rPr>
              <w:t>1.能说出护理不良事件的分级标准；</w:t>
            </w:r>
          </w:p>
          <w:p w14:paraId="2F4EFF4A">
            <w:pPr>
              <w:widowControl w:val="0"/>
              <w:snapToGrid w:val="0"/>
              <w:spacing w:line="288" w:lineRule="auto"/>
              <w:jc w:val="both"/>
              <w:rPr>
                <w:rFonts w:cs="Times New Roman"/>
                <w:kern w:val="2"/>
                <w:sz w:val="21"/>
                <w:szCs w:val="21"/>
              </w:rPr>
            </w:pPr>
            <w:r>
              <w:rPr>
                <w:rFonts w:hint="eastAsia" w:cs="Times New Roman"/>
                <w:kern w:val="2"/>
                <w:sz w:val="21"/>
                <w:szCs w:val="21"/>
              </w:rPr>
              <w:t>2.能理解不良事件报告的内容及原则；</w:t>
            </w:r>
          </w:p>
          <w:p w14:paraId="04A48EDB">
            <w:pPr>
              <w:widowControl w:val="0"/>
              <w:snapToGrid w:val="0"/>
              <w:spacing w:line="288" w:lineRule="auto"/>
              <w:jc w:val="both"/>
              <w:rPr>
                <w:rFonts w:cs="Times New Roman"/>
                <w:kern w:val="2"/>
                <w:sz w:val="21"/>
                <w:szCs w:val="21"/>
              </w:rPr>
            </w:pPr>
          </w:p>
        </w:tc>
        <w:tc>
          <w:tcPr>
            <w:tcW w:w="877" w:type="pct"/>
          </w:tcPr>
          <w:p w14:paraId="38091A49">
            <w:pPr>
              <w:widowControl w:val="0"/>
              <w:snapToGrid w:val="0"/>
              <w:spacing w:line="288" w:lineRule="auto"/>
              <w:jc w:val="both"/>
              <w:rPr>
                <w:rFonts w:cs="Times New Roman"/>
                <w:kern w:val="2"/>
                <w:sz w:val="21"/>
                <w:szCs w:val="21"/>
              </w:rPr>
            </w:pPr>
            <w:r>
              <w:rPr>
                <w:rFonts w:hint="eastAsia" w:cs="Times New Roman"/>
                <w:kern w:val="2"/>
                <w:sz w:val="21"/>
                <w:szCs w:val="21"/>
              </w:rPr>
              <w:t>树立正确对待不良事件的态度。</w:t>
            </w:r>
          </w:p>
        </w:tc>
        <w:tc>
          <w:tcPr>
            <w:tcW w:w="790" w:type="pct"/>
          </w:tcPr>
          <w:p w14:paraId="50423B3C">
            <w:pPr>
              <w:widowControl w:val="0"/>
              <w:snapToGrid w:val="0"/>
              <w:spacing w:line="288" w:lineRule="auto"/>
              <w:jc w:val="both"/>
              <w:rPr>
                <w:rFonts w:cs="Times New Roman"/>
                <w:kern w:val="2"/>
                <w:sz w:val="21"/>
                <w:szCs w:val="21"/>
              </w:rPr>
            </w:pPr>
            <w:r>
              <w:rPr>
                <w:rFonts w:hint="eastAsia" w:cs="Times New Roman"/>
                <w:kern w:val="2"/>
                <w:sz w:val="21"/>
                <w:szCs w:val="21"/>
              </w:rPr>
              <w:t>1.不良事件报告的理解；</w:t>
            </w:r>
          </w:p>
          <w:p w14:paraId="17E74909">
            <w:pPr>
              <w:widowControl w:val="0"/>
              <w:snapToGrid w:val="0"/>
              <w:spacing w:line="288" w:lineRule="auto"/>
              <w:jc w:val="both"/>
              <w:rPr>
                <w:rFonts w:cs="Times New Roman"/>
                <w:kern w:val="2"/>
                <w:sz w:val="21"/>
                <w:szCs w:val="21"/>
              </w:rPr>
            </w:pPr>
            <w:r>
              <w:rPr>
                <w:rFonts w:hint="eastAsia" w:cs="Times New Roman"/>
                <w:kern w:val="2"/>
                <w:sz w:val="21"/>
                <w:szCs w:val="21"/>
              </w:rPr>
              <w:t>2</w:t>
            </w:r>
            <w:r>
              <w:rPr>
                <w:rFonts w:cs="Times New Roman"/>
                <w:kern w:val="2"/>
                <w:sz w:val="21"/>
                <w:szCs w:val="21"/>
              </w:rPr>
              <w:t>.</w:t>
            </w:r>
            <w:r>
              <w:rPr>
                <w:rFonts w:hint="eastAsia" w:cs="Times New Roman"/>
                <w:kern w:val="2"/>
                <w:sz w:val="21"/>
                <w:szCs w:val="21"/>
              </w:rPr>
              <w:t>病人安全文化的内涵的理解。</w:t>
            </w:r>
          </w:p>
        </w:tc>
      </w:tr>
      <w:tr w14:paraId="097E73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264" w:type="pct"/>
            <w:vAlign w:val="center"/>
          </w:tcPr>
          <w:p w14:paraId="04FB965C">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5</w:t>
            </w:r>
          </w:p>
        </w:tc>
        <w:tc>
          <w:tcPr>
            <w:tcW w:w="450" w:type="pct"/>
            <w:vAlign w:val="center"/>
          </w:tcPr>
          <w:p w14:paraId="42C3FB46">
            <w:pPr>
              <w:widowControl w:val="0"/>
              <w:snapToGrid w:val="0"/>
              <w:spacing w:line="288" w:lineRule="auto"/>
              <w:jc w:val="both"/>
              <w:rPr>
                <w:rFonts w:cs="Times New Roman"/>
                <w:kern w:val="2"/>
                <w:sz w:val="21"/>
                <w:szCs w:val="21"/>
              </w:rPr>
            </w:pPr>
            <w:r>
              <w:rPr>
                <w:rFonts w:hint="eastAsia" w:cs="Times New Roman"/>
                <w:kern w:val="2"/>
                <w:sz w:val="21"/>
                <w:szCs w:val="21"/>
              </w:rPr>
              <w:t>沟通与病人安全</w:t>
            </w:r>
          </w:p>
        </w:tc>
        <w:tc>
          <w:tcPr>
            <w:tcW w:w="1268" w:type="pct"/>
          </w:tcPr>
          <w:p w14:paraId="738B7A94">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理解护士与病人沟通的重要性及常见的沟通风险；</w:t>
            </w:r>
          </w:p>
          <w:p w14:paraId="48EA6AEA">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理解知情同意的概念和病人知情的内容；3</w:t>
            </w:r>
            <w:r>
              <w:rPr>
                <w:rFonts w:cs="Times New Roman"/>
                <w:kern w:val="2"/>
                <w:sz w:val="21"/>
                <w:szCs w:val="21"/>
              </w:rPr>
              <w:t>.</w:t>
            </w:r>
            <w:r>
              <w:rPr>
                <w:rFonts w:hint="eastAsia" w:cs="Times New Roman"/>
                <w:kern w:val="2"/>
                <w:sz w:val="21"/>
                <w:szCs w:val="21"/>
              </w:rPr>
              <w:t>综合运用不良事件发生后与病人沟通的原则和技术。</w:t>
            </w:r>
          </w:p>
          <w:p w14:paraId="64146341">
            <w:pPr>
              <w:widowControl w:val="0"/>
              <w:tabs>
                <w:tab w:val="left" w:pos="312"/>
              </w:tabs>
              <w:snapToGrid w:val="0"/>
              <w:spacing w:line="288" w:lineRule="auto"/>
              <w:jc w:val="both"/>
              <w:rPr>
                <w:rFonts w:cs="Times New Roman"/>
                <w:kern w:val="2"/>
                <w:sz w:val="21"/>
                <w:szCs w:val="21"/>
              </w:rPr>
            </w:pPr>
          </w:p>
        </w:tc>
        <w:tc>
          <w:tcPr>
            <w:tcW w:w="1349" w:type="pct"/>
          </w:tcPr>
          <w:p w14:paraId="7D30A30E">
            <w:pPr>
              <w:widowControl w:val="0"/>
              <w:snapToGrid w:val="0"/>
              <w:spacing w:line="288" w:lineRule="auto"/>
              <w:jc w:val="both"/>
              <w:rPr>
                <w:rFonts w:cs="Times New Roman"/>
                <w:kern w:val="2"/>
                <w:sz w:val="21"/>
                <w:szCs w:val="21"/>
              </w:rPr>
            </w:pPr>
            <w:r>
              <w:rPr>
                <w:rFonts w:hint="eastAsia" w:cs="Times New Roman"/>
                <w:kern w:val="2"/>
                <w:sz w:val="21"/>
                <w:szCs w:val="21"/>
              </w:rPr>
              <w:t>1. 能运用S</w:t>
            </w:r>
            <w:r>
              <w:rPr>
                <w:rFonts w:cs="Times New Roman"/>
                <w:kern w:val="2"/>
                <w:sz w:val="21"/>
                <w:szCs w:val="21"/>
              </w:rPr>
              <w:t>BAR</w:t>
            </w:r>
            <w:r>
              <w:rPr>
                <w:rFonts w:hint="eastAsia" w:cs="Times New Roman"/>
                <w:kern w:val="2"/>
                <w:sz w:val="21"/>
                <w:szCs w:val="21"/>
              </w:rPr>
              <w:t>标准沟通模式进行沟通；</w:t>
            </w:r>
          </w:p>
          <w:p w14:paraId="4DEC463F">
            <w:pPr>
              <w:widowControl w:val="0"/>
              <w:snapToGrid w:val="0"/>
              <w:spacing w:line="288" w:lineRule="auto"/>
              <w:jc w:val="both"/>
              <w:rPr>
                <w:rFonts w:cs="Times New Roman"/>
                <w:kern w:val="2"/>
                <w:sz w:val="21"/>
                <w:szCs w:val="21"/>
              </w:rPr>
            </w:pPr>
            <w:r>
              <w:rPr>
                <w:rFonts w:hint="eastAsia" w:cs="Times New Roman"/>
                <w:kern w:val="2"/>
                <w:sz w:val="21"/>
                <w:szCs w:val="21"/>
              </w:rPr>
              <w:t>2.能解读护患沟通中的人文关怀。</w:t>
            </w:r>
          </w:p>
        </w:tc>
        <w:tc>
          <w:tcPr>
            <w:tcW w:w="877" w:type="pct"/>
          </w:tcPr>
          <w:p w14:paraId="7C4FC9F5">
            <w:pPr>
              <w:widowControl w:val="0"/>
              <w:snapToGrid w:val="0"/>
              <w:spacing w:line="288" w:lineRule="auto"/>
              <w:jc w:val="both"/>
              <w:rPr>
                <w:rFonts w:cs="Times New Roman"/>
                <w:kern w:val="2"/>
                <w:sz w:val="21"/>
                <w:szCs w:val="21"/>
              </w:rPr>
            </w:pPr>
            <w:r>
              <w:rPr>
                <w:rFonts w:hint="eastAsia" w:cs="Times New Roman"/>
                <w:kern w:val="2"/>
                <w:sz w:val="21"/>
                <w:szCs w:val="21"/>
              </w:rPr>
              <w:t>培养从人文关怀的角度与病人进行有效沟通，创建安全、和谐的护患关系。</w:t>
            </w:r>
          </w:p>
          <w:p w14:paraId="1C03AB80">
            <w:pPr>
              <w:widowControl w:val="0"/>
              <w:snapToGrid w:val="0"/>
              <w:spacing w:line="288" w:lineRule="auto"/>
              <w:jc w:val="both"/>
              <w:rPr>
                <w:rFonts w:cs="Times New Roman"/>
                <w:kern w:val="2"/>
                <w:sz w:val="21"/>
                <w:szCs w:val="21"/>
              </w:rPr>
            </w:pPr>
          </w:p>
        </w:tc>
        <w:tc>
          <w:tcPr>
            <w:tcW w:w="790" w:type="pct"/>
          </w:tcPr>
          <w:p w14:paraId="53D70BC4">
            <w:pPr>
              <w:widowControl w:val="0"/>
              <w:tabs>
                <w:tab w:val="left" w:pos="312"/>
              </w:tabs>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 xml:space="preserve"> S</w:t>
            </w:r>
            <w:r>
              <w:rPr>
                <w:rFonts w:cs="Times New Roman"/>
                <w:kern w:val="2"/>
                <w:sz w:val="21"/>
                <w:szCs w:val="21"/>
              </w:rPr>
              <w:t>BAR</w:t>
            </w:r>
            <w:r>
              <w:rPr>
                <w:rFonts w:hint="eastAsia" w:cs="Times New Roman"/>
                <w:kern w:val="2"/>
                <w:sz w:val="21"/>
                <w:szCs w:val="21"/>
              </w:rPr>
              <w:t>标准化沟通模式的应用；</w:t>
            </w:r>
            <w:r>
              <w:rPr>
                <w:rFonts w:cs="Times New Roman"/>
                <w:kern w:val="2"/>
                <w:sz w:val="21"/>
                <w:szCs w:val="21"/>
              </w:rPr>
              <w:t xml:space="preserve"> </w:t>
            </w:r>
          </w:p>
          <w:p w14:paraId="7BEB35DE">
            <w:pPr>
              <w:widowControl w:val="0"/>
              <w:snapToGrid w:val="0"/>
              <w:spacing w:line="288" w:lineRule="auto"/>
              <w:jc w:val="both"/>
              <w:rPr>
                <w:rFonts w:cs="Times New Roman"/>
                <w:kern w:val="2"/>
                <w:sz w:val="21"/>
                <w:szCs w:val="21"/>
              </w:rPr>
            </w:pPr>
            <w:r>
              <w:rPr>
                <w:rFonts w:hint="eastAsia" w:cs="Times New Roman"/>
                <w:kern w:val="2"/>
                <w:sz w:val="21"/>
                <w:szCs w:val="21"/>
              </w:rPr>
              <w:t>2</w:t>
            </w:r>
            <w:r>
              <w:rPr>
                <w:rFonts w:cs="Times New Roman"/>
                <w:kern w:val="2"/>
                <w:sz w:val="21"/>
                <w:szCs w:val="21"/>
              </w:rPr>
              <w:t>.</w:t>
            </w:r>
            <w:r>
              <w:rPr>
                <w:rFonts w:hint="eastAsia" w:cs="Times New Roman"/>
                <w:kern w:val="2"/>
                <w:sz w:val="21"/>
                <w:szCs w:val="21"/>
              </w:rPr>
              <w:t>不良事件发生后与病人沟通的原则及方式的理解。</w:t>
            </w:r>
          </w:p>
        </w:tc>
      </w:tr>
      <w:tr w14:paraId="7FF03E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264" w:type="pct"/>
            <w:vAlign w:val="center"/>
          </w:tcPr>
          <w:p w14:paraId="531EADC1">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6</w:t>
            </w:r>
          </w:p>
        </w:tc>
        <w:tc>
          <w:tcPr>
            <w:tcW w:w="450" w:type="pct"/>
            <w:vAlign w:val="center"/>
          </w:tcPr>
          <w:p w14:paraId="5AFCB5CE">
            <w:pPr>
              <w:widowControl w:val="0"/>
              <w:snapToGrid w:val="0"/>
              <w:spacing w:line="288" w:lineRule="auto"/>
              <w:jc w:val="both"/>
              <w:rPr>
                <w:rFonts w:cs="Times New Roman"/>
                <w:kern w:val="2"/>
                <w:sz w:val="21"/>
                <w:szCs w:val="21"/>
              </w:rPr>
            </w:pPr>
            <w:r>
              <w:rPr>
                <w:rFonts w:hint="eastAsia" w:cs="Times New Roman"/>
                <w:kern w:val="2"/>
                <w:sz w:val="21"/>
                <w:szCs w:val="21"/>
              </w:rPr>
              <w:t>医院感染的预防与控制</w:t>
            </w:r>
          </w:p>
        </w:tc>
        <w:tc>
          <w:tcPr>
            <w:tcW w:w="1268" w:type="pct"/>
          </w:tcPr>
          <w:p w14:paraId="2BD780DF">
            <w:pPr>
              <w:widowControl w:val="0"/>
              <w:snapToGrid w:val="0"/>
              <w:spacing w:line="288" w:lineRule="auto"/>
              <w:jc w:val="both"/>
              <w:rPr>
                <w:rFonts w:cs="Times New Roman"/>
                <w:kern w:val="2"/>
                <w:sz w:val="21"/>
                <w:szCs w:val="21"/>
              </w:rPr>
            </w:pPr>
            <w:r>
              <w:rPr>
                <w:rFonts w:hint="eastAsia" w:cs="Times New Roman"/>
                <w:kern w:val="2"/>
                <w:sz w:val="21"/>
                <w:szCs w:val="21"/>
              </w:rPr>
              <w:t>1.知道医院感染、交叉感染、消毒、灭菌、手卫生、无菌技术、标准预防、安全注射的概念；</w:t>
            </w:r>
          </w:p>
          <w:p w14:paraId="0577A71C">
            <w:pPr>
              <w:widowControl w:val="0"/>
              <w:snapToGrid w:val="0"/>
              <w:spacing w:line="288" w:lineRule="auto"/>
              <w:jc w:val="both"/>
              <w:rPr>
                <w:rFonts w:cs="Times New Roman"/>
                <w:kern w:val="2"/>
                <w:sz w:val="21"/>
                <w:szCs w:val="21"/>
              </w:rPr>
            </w:pPr>
            <w:r>
              <w:rPr>
                <w:rFonts w:hint="eastAsia" w:cs="Times New Roman"/>
                <w:kern w:val="2"/>
                <w:sz w:val="21"/>
                <w:szCs w:val="21"/>
              </w:rPr>
              <w:t>2.理解手卫生的时刻及原则；</w:t>
            </w:r>
          </w:p>
          <w:p w14:paraId="5A528435">
            <w:pPr>
              <w:widowControl w:val="0"/>
              <w:snapToGrid w:val="0"/>
              <w:spacing w:line="288" w:lineRule="auto"/>
              <w:jc w:val="both"/>
              <w:rPr>
                <w:rFonts w:cs="Times New Roman"/>
                <w:kern w:val="2"/>
                <w:sz w:val="21"/>
                <w:szCs w:val="21"/>
              </w:rPr>
            </w:pPr>
            <w:r>
              <w:rPr>
                <w:rFonts w:hint="eastAsia" w:cs="Times New Roman"/>
                <w:kern w:val="2"/>
                <w:sz w:val="21"/>
                <w:szCs w:val="21"/>
              </w:rPr>
              <w:t>3.知道血源性病原体职业暴露的防护措施；分析锐器伤的原因。</w:t>
            </w:r>
          </w:p>
          <w:p w14:paraId="2AA6D772">
            <w:pPr>
              <w:widowControl w:val="0"/>
              <w:snapToGrid w:val="0"/>
              <w:spacing w:line="288" w:lineRule="auto"/>
              <w:jc w:val="both"/>
              <w:rPr>
                <w:rFonts w:cs="Times New Roman"/>
                <w:kern w:val="2"/>
                <w:sz w:val="21"/>
                <w:szCs w:val="21"/>
              </w:rPr>
            </w:pPr>
          </w:p>
          <w:p w14:paraId="5DA4035C">
            <w:pPr>
              <w:widowControl w:val="0"/>
              <w:snapToGrid w:val="0"/>
              <w:spacing w:line="288" w:lineRule="auto"/>
              <w:jc w:val="both"/>
              <w:rPr>
                <w:rFonts w:cs="Times New Roman"/>
                <w:kern w:val="2"/>
                <w:sz w:val="21"/>
                <w:szCs w:val="21"/>
              </w:rPr>
            </w:pPr>
          </w:p>
        </w:tc>
        <w:tc>
          <w:tcPr>
            <w:tcW w:w="1349" w:type="pct"/>
          </w:tcPr>
          <w:p w14:paraId="7821BD2E">
            <w:pPr>
              <w:widowControl w:val="0"/>
              <w:snapToGrid w:val="0"/>
              <w:spacing w:line="288" w:lineRule="auto"/>
              <w:jc w:val="both"/>
              <w:rPr>
                <w:rFonts w:cs="Times New Roman"/>
                <w:kern w:val="2"/>
                <w:sz w:val="21"/>
                <w:szCs w:val="21"/>
              </w:rPr>
            </w:pPr>
            <w:r>
              <w:rPr>
                <w:rFonts w:hint="eastAsia" w:cs="Times New Roman"/>
                <w:kern w:val="2"/>
                <w:sz w:val="21"/>
                <w:szCs w:val="21"/>
              </w:rPr>
              <w:t>1.能说出医院感染发生的主要原因及传播途径；</w:t>
            </w:r>
          </w:p>
          <w:p w14:paraId="416388F8">
            <w:pPr>
              <w:widowControl w:val="0"/>
              <w:snapToGrid w:val="0"/>
              <w:spacing w:line="288" w:lineRule="auto"/>
              <w:jc w:val="both"/>
              <w:rPr>
                <w:rFonts w:cs="Times New Roman"/>
                <w:kern w:val="2"/>
                <w:sz w:val="21"/>
                <w:szCs w:val="21"/>
              </w:rPr>
            </w:pPr>
            <w:r>
              <w:rPr>
                <w:rFonts w:hint="eastAsia" w:cs="Times New Roman"/>
                <w:kern w:val="2"/>
                <w:sz w:val="21"/>
                <w:szCs w:val="21"/>
              </w:rPr>
              <w:t>2.能说出标准预防措施的内容；</w:t>
            </w:r>
          </w:p>
          <w:p w14:paraId="228A644B">
            <w:pPr>
              <w:widowControl w:val="0"/>
              <w:snapToGrid w:val="0"/>
              <w:spacing w:line="288" w:lineRule="auto"/>
              <w:jc w:val="both"/>
              <w:rPr>
                <w:rFonts w:cs="Times New Roman"/>
                <w:kern w:val="2"/>
                <w:sz w:val="21"/>
                <w:szCs w:val="21"/>
              </w:rPr>
            </w:pPr>
            <w:r>
              <w:rPr>
                <w:rFonts w:hint="eastAsia" w:cs="Times New Roman"/>
                <w:kern w:val="2"/>
                <w:sz w:val="21"/>
                <w:szCs w:val="21"/>
              </w:rPr>
              <w:t>3.能评价医疗废物的分类；</w:t>
            </w:r>
          </w:p>
          <w:p w14:paraId="32364EB0">
            <w:pPr>
              <w:widowControl w:val="0"/>
              <w:snapToGrid w:val="0"/>
              <w:spacing w:line="288" w:lineRule="auto"/>
              <w:jc w:val="both"/>
              <w:rPr>
                <w:rFonts w:cs="Times New Roman"/>
                <w:kern w:val="2"/>
                <w:sz w:val="21"/>
                <w:szCs w:val="21"/>
              </w:rPr>
            </w:pPr>
            <w:r>
              <w:rPr>
                <w:rFonts w:hint="eastAsia" w:cs="Times New Roman"/>
                <w:kern w:val="2"/>
                <w:sz w:val="21"/>
                <w:szCs w:val="21"/>
              </w:rPr>
              <w:t>4.能知道锐器伤的防护措施及应急处理流程；运用标准预防措施防止血源性职业暴露。</w:t>
            </w:r>
            <w:r>
              <w:rPr>
                <w:rFonts w:cs="Times New Roman"/>
                <w:kern w:val="2"/>
                <w:sz w:val="21"/>
                <w:szCs w:val="21"/>
              </w:rPr>
              <w:t xml:space="preserve"> </w:t>
            </w:r>
          </w:p>
        </w:tc>
        <w:tc>
          <w:tcPr>
            <w:tcW w:w="877" w:type="pct"/>
          </w:tcPr>
          <w:p w14:paraId="68758DAD">
            <w:pPr>
              <w:widowControl w:val="0"/>
              <w:snapToGrid w:val="0"/>
              <w:spacing w:line="288" w:lineRule="auto"/>
              <w:jc w:val="both"/>
              <w:rPr>
                <w:rFonts w:cs="Times New Roman"/>
                <w:kern w:val="2"/>
                <w:sz w:val="21"/>
                <w:szCs w:val="21"/>
              </w:rPr>
            </w:pPr>
            <w:r>
              <w:rPr>
                <w:rFonts w:hint="eastAsia" w:cs="Times New Roman"/>
                <w:kern w:val="2"/>
                <w:sz w:val="21"/>
                <w:szCs w:val="21"/>
              </w:rPr>
              <w:t>知晓医院感染的预防与控制是医疗机构及其每个医务人员的责任，也是病人安全的组成部分。</w:t>
            </w:r>
          </w:p>
        </w:tc>
        <w:tc>
          <w:tcPr>
            <w:tcW w:w="790" w:type="pct"/>
          </w:tcPr>
          <w:p w14:paraId="00C91A97">
            <w:pPr>
              <w:widowControl w:val="0"/>
              <w:snapToGrid w:val="0"/>
              <w:spacing w:line="288" w:lineRule="auto"/>
              <w:jc w:val="both"/>
              <w:rPr>
                <w:rFonts w:cs="Times New Roman"/>
                <w:kern w:val="2"/>
                <w:sz w:val="21"/>
                <w:szCs w:val="21"/>
              </w:rPr>
            </w:pPr>
            <w:r>
              <w:rPr>
                <w:rFonts w:hint="eastAsia" w:cs="Times New Roman"/>
                <w:kern w:val="2"/>
                <w:sz w:val="21"/>
                <w:szCs w:val="21"/>
              </w:rPr>
              <w:t>1.各种临床情境下正确进行手卫生的深入掌握；</w:t>
            </w:r>
          </w:p>
          <w:p w14:paraId="3E0DC62F">
            <w:pPr>
              <w:widowControl w:val="0"/>
              <w:snapToGrid w:val="0"/>
              <w:spacing w:line="288" w:lineRule="auto"/>
              <w:jc w:val="both"/>
              <w:rPr>
                <w:rFonts w:cs="Times New Roman"/>
                <w:kern w:val="2"/>
                <w:sz w:val="21"/>
                <w:szCs w:val="21"/>
              </w:rPr>
            </w:pPr>
            <w:r>
              <w:rPr>
                <w:rFonts w:hint="eastAsia" w:cs="Times New Roman"/>
                <w:kern w:val="2"/>
                <w:sz w:val="21"/>
                <w:szCs w:val="21"/>
              </w:rPr>
              <w:t>2.医院感染的主要防控方法的应用。</w:t>
            </w:r>
          </w:p>
          <w:p w14:paraId="3178BCD0">
            <w:pPr>
              <w:widowControl w:val="0"/>
              <w:snapToGrid w:val="0"/>
              <w:spacing w:line="288" w:lineRule="auto"/>
              <w:jc w:val="both"/>
              <w:rPr>
                <w:rFonts w:cs="Times New Roman"/>
                <w:kern w:val="2"/>
                <w:sz w:val="21"/>
                <w:szCs w:val="21"/>
              </w:rPr>
            </w:pPr>
          </w:p>
        </w:tc>
      </w:tr>
      <w:tr w14:paraId="66D4DE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18" w:hRule="atLeast"/>
          <w:jc w:val="center"/>
        </w:trPr>
        <w:tc>
          <w:tcPr>
            <w:tcW w:w="264" w:type="pct"/>
            <w:vAlign w:val="center"/>
          </w:tcPr>
          <w:p w14:paraId="3E92AF11">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7</w:t>
            </w:r>
          </w:p>
        </w:tc>
        <w:tc>
          <w:tcPr>
            <w:tcW w:w="450" w:type="pct"/>
            <w:vAlign w:val="center"/>
          </w:tcPr>
          <w:p w14:paraId="1C5307B4">
            <w:pPr>
              <w:widowControl w:val="0"/>
              <w:snapToGrid w:val="0"/>
              <w:spacing w:line="288" w:lineRule="auto"/>
              <w:jc w:val="both"/>
              <w:rPr>
                <w:rFonts w:cs="Times New Roman"/>
                <w:kern w:val="2"/>
                <w:sz w:val="21"/>
                <w:szCs w:val="21"/>
              </w:rPr>
            </w:pPr>
            <w:r>
              <w:rPr>
                <w:rFonts w:hint="eastAsia" w:cs="Times New Roman"/>
                <w:kern w:val="2"/>
                <w:sz w:val="21"/>
                <w:szCs w:val="21"/>
              </w:rPr>
              <w:t>侵入性操作与病人安全</w:t>
            </w:r>
          </w:p>
        </w:tc>
        <w:tc>
          <w:tcPr>
            <w:tcW w:w="1268" w:type="pct"/>
          </w:tcPr>
          <w:p w14:paraId="385B46C7">
            <w:pPr>
              <w:widowControl w:val="0"/>
              <w:snapToGrid w:val="0"/>
              <w:spacing w:line="288" w:lineRule="auto"/>
              <w:jc w:val="both"/>
              <w:rPr>
                <w:rFonts w:cs="Times New Roman"/>
                <w:kern w:val="2"/>
                <w:sz w:val="21"/>
                <w:szCs w:val="21"/>
              </w:rPr>
            </w:pPr>
            <w:r>
              <w:rPr>
                <w:rFonts w:hint="eastAsia" w:cs="Times New Roman"/>
                <w:kern w:val="2"/>
                <w:sz w:val="21"/>
                <w:szCs w:val="21"/>
              </w:rPr>
              <w:t>1.知道侵入性操作的概念；</w:t>
            </w:r>
            <w:r>
              <w:rPr>
                <w:rFonts w:cs="Times New Roman"/>
                <w:kern w:val="2"/>
                <w:sz w:val="21"/>
                <w:szCs w:val="21"/>
              </w:rPr>
              <w:t xml:space="preserve"> </w:t>
            </w:r>
          </w:p>
          <w:p w14:paraId="20B71796">
            <w:pPr>
              <w:widowControl w:val="0"/>
              <w:snapToGrid w:val="0"/>
              <w:spacing w:line="288" w:lineRule="auto"/>
              <w:jc w:val="both"/>
              <w:rPr>
                <w:rFonts w:cs="Times New Roman"/>
                <w:kern w:val="2"/>
                <w:sz w:val="21"/>
                <w:szCs w:val="21"/>
              </w:rPr>
            </w:pPr>
            <w:r>
              <w:rPr>
                <w:rFonts w:hint="eastAsia" w:cs="Times New Roman"/>
                <w:kern w:val="2"/>
                <w:sz w:val="21"/>
                <w:szCs w:val="21"/>
              </w:rPr>
              <w:t>2.分析常见注射法、留置导管的风险及防范；</w:t>
            </w:r>
          </w:p>
          <w:p w14:paraId="2B10A06C">
            <w:pPr>
              <w:widowControl w:val="0"/>
              <w:snapToGrid w:val="0"/>
              <w:spacing w:line="288" w:lineRule="auto"/>
              <w:jc w:val="both"/>
              <w:rPr>
                <w:rFonts w:cs="Times New Roman"/>
                <w:kern w:val="2"/>
                <w:sz w:val="21"/>
                <w:szCs w:val="21"/>
              </w:rPr>
            </w:pPr>
            <w:r>
              <w:rPr>
                <w:rFonts w:hint="eastAsia" w:cs="Times New Roman"/>
                <w:kern w:val="2"/>
                <w:sz w:val="21"/>
                <w:szCs w:val="21"/>
              </w:rPr>
              <w:t>3.评价手术过程的安全问题。</w:t>
            </w:r>
          </w:p>
        </w:tc>
        <w:tc>
          <w:tcPr>
            <w:tcW w:w="1349" w:type="pct"/>
          </w:tcPr>
          <w:p w14:paraId="37E71B4A">
            <w:pPr>
              <w:widowControl w:val="0"/>
              <w:snapToGrid w:val="0"/>
              <w:spacing w:line="288" w:lineRule="auto"/>
              <w:jc w:val="both"/>
              <w:rPr>
                <w:rFonts w:cs="Times New Roman"/>
                <w:kern w:val="2"/>
                <w:sz w:val="21"/>
                <w:szCs w:val="21"/>
              </w:rPr>
            </w:pPr>
            <w:r>
              <w:rPr>
                <w:rFonts w:cs="Times New Roman"/>
                <w:kern w:val="2"/>
                <w:sz w:val="21"/>
                <w:szCs w:val="21"/>
              </w:rPr>
              <w:t>1</w:t>
            </w:r>
            <w:r>
              <w:rPr>
                <w:rFonts w:hint="eastAsia" w:cs="Times New Roman"/>
                <w:kern w:val="2"/>
                <w:sz w:val="21"/>
                <w:szCs w:val="21"/>
              </w:rPr>
              <w:t>.能说出静脉输液、输血、皮内、皮下注射法的风险及防范；</w:t>
            </w:r>
          </w:p>
          <w:p w14:paraId="380EA75F">
            <w:pPr>
              <w:widowControl w:val="0"/>
              <w:snapToGrid w:val="0"/>
              <w:spacing w:line="288" w:lineRule="auto"/>
              <w:jc w:val="both"/>
              <w:rPr>
                <w:rFonts w:cs="Times New Roman"/>
                <w:kern w:val="2"/>
                <w:sz w:val="21"/>
                <w:szCs w:val="21"/>
              </w:rPr>
            </w:pPr>
            <w:r>
              <w:rPr>
                <w:rFonts w:cs="Times New Roman"/>
                <w:kern w:val="2"/>
                <w:sz w:val="21"/>
                <w:szCs w:val="21"/>
              </w:rPr>
              <w:t>2</w:t>
            </w:r>
            <w:r>
              <w:rPr>
                <w:rFonts w:hint="eastAsia" w:cs="Times New Roman"/>
                <w:kern w:val="2"/>
                <w:sz w:val="21"/>
                <w:szCs w:val="21"/>
              </w:rPr>
              <w:t>.能分析引流管、留置尿管的风险及防范。</w:t>
            </w:r>
          </w:p>
          <w:p w14:paraId="2537B7E9">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能分析物品遗漏手术病人体内的原因及防范措施。</w:t>
            </w:r>
          </w:p>
          <w:p w14:paraId="65973BA9">
            <w:pPr>
              <w:widowControl w:val="0"/>
              <w:snapToGrid w:val="0"/>
              <w:spacing w:line="288" w:lineRule="auto"/>
              <w:jc w:val="both"/>
              <w:rPr>
                <w:rFonts w:cs="Times New Roman"/>
                <w:kern w:val="2"/>
                <w:sz w:val="21"/>
                <w:szCs w:val="21"/>
              </w:rPr>
            </w:pPr>
          </w:p>
        </w:tc>
        <w:tc>
          <w:tcPr>
            <w:tcW w:w="877" w:type="pct"/>
          </w:tcPr>
          <w:p w14:paraId="75D8B050">
            <w:pPr>
              <w:widowControl w:val="0"/>
              <w:snapToGrid w:val="0"/>
              <w:spacing w:line="288" w:lineRule="auto"/>
              <w:jc w:val="both"/>
              <w:rPr>
                <w:rFonts w:cs="Times New Roman"/>
                <w:kern w:val="2"/>
                <w:sz w:val="21"/>
                <w:szCs w:val="21"/>
              </w:rPr>
            </w:pPr>
            <w:r>
              <w:rPr>
                <w:rFonts w:hint="eastAsia" w:cs="Times New Roman"/>
                <w:kern w:val="2"/>
                <w:sz w:val="21"/>
                <w:szCs w:val="21"/>
              </w:rPr>
              <w:t>培养护士严格遵守侵入性操作相关制度，有效规避风险，保证接受侵入性操作病人的安全。</w:t>
            </w:r>
          </w:p>
        </w:tc>
        <w:tc>
          <w:tcPr>
            <w:tcW w:w="790" w:type="pct"/>
          </w:tcPr>
          <w:p w14:paraId="14F0D8D0">
            <w:pPr>
              <w:widowControl w:val="0"/>
              <w:snapToGrid w:val="0"/>
              <w:spacing w:line="288" w:lineRule="auto"/>
              <w:jc w:val="both"/>
              <w:rPr>
                <w:rFonts w:cs="Times New Roman"/>
                <w:kern w:val="2"/>
                <w:sz w:val="21"/>
                <w:szCs w:val="21"/>
              </w:rPr>
            </w:pPr>
            <w:r>
              <w:rPr>
                <w:rFonts w:hint="eastAsia" w:cs="Times New Roman"/>
                <w:kern w:val="2"/>
                <w:sz w:val="21"/>
                <w:szCs w:val="21"/>
              </w:rPr>
              <w:t>1.侵入性操作引发的病人安全问题的认识；</w:t>
            </w:r>
          </w:p>
          <w:p w14:paraId="76BA5ED4">
            <w:pPr>
              <w:widowControl w:val="0"/>
              <w:snapToGrid w:val="0"/>
              <w:spacing w:line="288" w:lineRule="auto"/>
              <w:jc w:val="both"/>
              <w:rPr>
                <w:rFonts w:cs="Times New Roman"/>
                <w:kern w:val="2"/>
                <w:sz w:val="21"/>
                <w:szCs w:val="21"/>
              </w:rPr>
            </w:pPr>
            <w:r>
              <w:rPr>
                <w:rFonts w:hint="eastAsia" w:cs="Times New Roman"/>
                <w:kern w:val="2"/>
                <w:sz w:val="21"/>
                <w:szCs w:val="21"/>
              </w:rPr>
              <w:t>2.手术过程安全问题的认识。</w:t>
            </w:r>
          </w:p>
        </w:tc>
      </w:tr>
      <w:tr w14:paraId="1726BE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3" w:hRule="atLeast"/>
          <w:jc w:val="center"/>
        </w:trPr>
        <w:tc>
          <w:tcPr>
            <w:tcW w:w="264" w:type="pct"/>
            <w:vAlign w:val="center"/>
          </w:tcPr>
          <w:p w14:paraId="0F764A82">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8</w:t>
            </w:r>
          </w:p>
        </w:tc>
        <w:tc>
          <w:tcPr>
            <w:tcW w:w="450" w:type="pct"/>
            <w:vAlign w:val="center"/>
          </w:tcPr>
          <w:p w14:paraId="481513A0">
            <w:pPr>
              <w:widowControl w:val="0"/>
              <w:snapToGrid w:val="0"/>
              <w:spacing w:line="288" w:lineRule="auto"/>
              <w:jc w:val="both"/>
              <w:rPr>
                <w:rFonts w:cs="Times New Roman"/>
                <w:kern w:val="2"/>
                <w:sz w:val="21"/>
                <w:szCs w:val="21"/>
              </w:rPr>
            </w:pPr>
            <w:r>
              <w:rPr>
                <w:rFonts w:hint="eastAsia" w:cs="Times New Roman"/>
                <w:kern w:val="2"/>
                <w:sz w:val="21"/>
                <w:szCs w:val="21"/>
              </w:rPr>
              <w:t>用药安全</w:t>
            </w:r>
          </w:p>
        </w:tc>
        <w:tc>
          <w:tcPr>
            <w:tcW w:w="1268" w:type="pct"/>
          </w:tcPr>
          <w:p w14:paraId="6B9EB604">
            <w:pPr>
              <w:widowControl w:val="0"/>
              <w:snapToGrid w:val="0"/>
              <w:spacing w:line="288" w:lineRule="auto"/>
              <w:jc w:val="both"/>
              <w:rPr>
                <w:rFonts w:cs="Times New Roman"/>
                <w:kern w:val="2"/>
                <w:sz w:val="21"/>
                <w:szCs w:val="21"/>
              </w:rPr>
            </w:pPr>
            <w:r>
              <w:rPr>
                <w:rFonts w:hint="eastAsia" w:cs="Times New Roman"/>
                <w:kern w:val="2"/>
                <w:sz w:val="21"/>
                <w:szCs w:val="21"/>
              </w:rPr>
              <w:t>1.理解药物副作用、药物不良反应以及药物不良事件的概念；</w:t>
            </w:r>
          </w:p>
          <w:p w14:paraId="42B9AFF0">
            <w:pPr>
              <w:widowControl w:val="0"/>
              <w:snapToGrid w:val="0"/>
              <w:spacing w:line="288" w:lineRule="auto"/>
              <w:jc w:val="both"/>
              <w:rPr>
                <w:rFonts w:cs="Times New Roman"/>
                <w:kern w:val="2"/>
                <w:sz w:val="21"/>
                <w:szCs w:val="21"/>
              </w:rPr>
            </w:pPr>
            <w:r>
              <w:rPr>
                <w:rFonts w:hint="eastAsia" w:cs="Times New Roman"/>
                <w:kern w:val="2"/>
                <w:sz w:val="21"/>
                <w:szCs w:val="21"/>
              </w:rPr>
              <w:t>2.了解常见用药错误的原因；</w:t>
            </w:r>
          </w:p>
          <w:p w14:paraId="689F6706">
            <w:pPr>
              <w:widowControl w:val="0"/>
              <w:snapToGrid w:val="0"/>
              <w:spacing w:line="288" w:lineRule="auto"/>
              <w:jc w:val="both"/>
              <w:rPr>
                <w:rFonts w:cs="Times New Roman"/>
                <w:kern w:val="2"/>
                <w:sz w:val="21"/>
                <w:szCs w:val="21"/>
              </w:rPr>
            </w:pPr>
            <w:r>
              <w:rPr>
                <w:rFonts w:hint="eastAsia" w:cs="Times New Roman"/>
                <w:kern w:val="2"/>
                <w:sz w:val="21"/>
                <w:szCs w:val="21"/>
              </w:rPr>
              <w:t>3.理解给药的风险与防范措施。</w:t>
            </w:r>
          </w:p>
          <w:p w14:paraId="46402D0B">
            <w:pPr>
              <w:widowControl w:val="0"/>
              <w:snapToGrid w:val="0"/>
              <w:spacing w:line="288" w:lineRule="auto"/>
              <w:jc w:val="both"/>
              <w:rPr>
                <w:rFonts w:cs="Times New Roman"/>
                <w:kern w:val="2"/>
                <w:sz w:val="21"/>
                <w:szCs w:val="21"/>
              </w:rPr>
            </w:pPr>
            <w:r>
              <w:rPr>
                <w:rFonts w:cs="Times New Roman"/>
                <w:kern w:val="2"/>
                <w:sz w:val="21"/>
                <w:szCs w:val="21"/>
              </w:rPr>
              <w:t xml:space="preserve"> </w:t>
            </w:r>
          </w:p>
        </w:tc>
        <w:tc>
          <w:tcPr>
            <w:tcW w:w="1349" w:type="pct"/>
          </w:tcPr>
          <w:p w14:paraId="270CCD00">
            <w:pPr>
              <w:widowControl w:val="0"/>
              <w:snapToGrid w:val="0"/>
              <w:spacing w:line="288" w:lineRule="auto"/>
              <w:jc w:val="both"/>
              <w:rPr>
                <w:rFonts w:cs="Times New Roman"/>
                <w:kern w:val="2"/>
                <w:sz w:val="21"/>
                <w:szCs w:val="21"/>
              </w:rPr>
            </w:pPr>
            <w:r>
              <w:rPr>
                <w:rFonts w:hint="eastAsia" w:cs="Times New Roman"/>
                <w:kern w:val="2"/>
                <w:sz w:val="21"/>
                <w:szCs w:val="21"/>
              </w:rPr>
              <w:t>1.能分析药物存放的风险与防范措施；能理解正确给药中每个环节的重要性。</w:t>
            </w:r>
          </w:p>
          <w:p w14:paraId="31212FD9">
            <w:pPr>
              <w:widowControl w:val="0"/>
              <w:snapToGrid w:val="0"/>
              <w:spacing w:line="288" w:lineRule="auto"/>
              <w:jc w:val="both"/>
              <w:rPr>
                <w:rFonts w:cs="Times New Roman"/>
                <w:kern w:val="2"/>
                <w:sz w:val="21"/>
                <w:szCs w:val="21"/>
              </w:rPr>
            </w:pPr>
            <w:r>
              <w:rPr>
                <w:rFonts w:hint="eastAsia" w:cs="Times New Roman"/>
                <w:kern w:val="2"/>
                <w:sz w:val="21"/>
                <w:szCs w:val="21"/>
              </w:rPr>
              <w:t>2</w:t>
            </w:r>
            <w:r>
              <w:rPr>
                <w:rFonts w:cs="Times New Roman"/>
                <w:kern w:val="2"/>
                <w:sz w:val="21"/>
                <w:szCs w:val="21"/>
              </w:rPr>
              <w:t>.</w:t>
            </w:r>
            <w:r>
              <w:rPr>
                <w:rFonts w:hint="eastAsia" w:cs="Times New Roman"/>
                <w:kern w:val="2"/>
                <w:sz w:val="21"/>
                <w:szCs w:val="21"/>
              </w:rPr>
              <w:t>能说出给药时的三查七对制度。</w:t>
            </w:r>
          </w:p>
          <w:p w14:paraId="6135702C">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能说出药物不良反应上报的程序。</w:t>
            </w:r>
          </w:p>
        </w:tc>
        <w:tc>
          <w:tcPr>
            <w:tcW w:w="877" w:type="pct"/>
          </w:tcPr>
          <w:p w14:paraId="5A1D27BE">
            <w:pPr>
              <w:widowControl w:val="0"/>
              <w:snapToGrid w:val="0"/>
              <w:spacing w:line="288" w:lineRule="auto"/>
              <w:jc w:val="both"/>
              <w:rPr>
                <w:rFonts w:cs="Times New Roman"/>
                <w:kern w:val="2"/>
                <w:sz w:val="21"/>
                <w:szCs w:val="21"/>
              </w:rPr>
            </w:pPr>
            <w:r>
              <w:rPr>
                <w:rFonts w:hint="eastAsia" w:cs="Times New Roman"/>
                <w:kern w:val="2"/>
                <w:sz w:val="21"/>
                <w:szCs w:val="21"/>
              </w:rPr>
              <w:t>1.培养护士在临床工作中提高安全用药的能力。</w:t>
            </w:r>
          </w:p>
          <w:p w14:paraId="2B8A831C">
            <w:pPr>
              <w:widowControl w:val="0"/>
              <w:snapToGrid w:val="0"/>
              <w:spacing w:line="288" w:lineRule="auto"/>
              <w:jc w:val="both"/>
              <w:rPr>
                <w:rFonts w:cs="Times New Roman"/>
                <w:kern w:val="2"/>
                <w:sz w:val="21"/>
                <w:szCs w:val="21"/>
              </w:rPr>
            </w:pPr>
          </w:p>
          <w:p w14:paraId="7BD48FE7">
            <w:pPr>
              <w:widowControl w:val="0"/>
              <w:snapToGrid w:val="0"/>
              <w:spacing w:line="288" w:lineRule="auto"/>
              <w:jc w:val="both"/>
              <w:rPr>
                <w:rFonts w:cs="Times New Roman"/>
                <w:kern w:val="2"/>
                <w:sz w:val="21"/>
                <w:szCs w:val="21"/>
              </w:rPr>
            </w:pPr>
          </w:p>
        </w:tc>
        <w:tc>
          <w:tcPr>
            <w:tcW w:w="790" w:type="pct"/>
          </w:tcPr>
          <w:p w14:paraId="24A17CBE">
            <w:pPr>
              <w:widowControl w:val="0"/>
              <w:snapToGrid w:val="0"/>
              <w:spacing w:line="288" w:lineRule="auto"/>
              <w:jc w:val="both"/>
              <w:rPr>
                <w:rFonts w:cs="Times New Roman"/>
                <w:kern w:val="2"/>
                <w:sz w:val="21"/>
                <w:szCs w:val="21"/>
              </w:rPr>
            </w:pPr>
            <w:r>
              <w:rPr>
                <w:rFonts w:hint="eastAsia" w:cs="Times New Roman"/>
                <w:kern w:val="2"/>
                <w:sz w:val="21"/>
                <w:szCs w:val="21"/>
              </w:rPr>
              <w:t>1.给药的风险与防范措施的运用；</w:t>
            </w:r>
          </w:p>
          <w:p w14:paraId="623B472F">
            <w:pPr>
              <w:widowControl w:val="0"/>
              <w:snapToGrid w:val="0"/>
              <w:spacing w:line="288" w:lineRule="auto"/>
              <w:jc w:val="both"/>
              <w:rPr>
                <w:rFonts w:cs="Times New Roman"/>
                <w:kern w:val="2"/>
                <w:sz w:val="21"/>
                <w:szCs w:val="21"/>
              </w:rPr>
            </w:pPr>
            <w:r>
              <w:rPr>
                <w:rFonts w:hint="eastAsia" w:cs="Times New Roman"/>
                <w:kern w:val="2"/>
                <w:sz w:val="21"/>
                <w:szCs w:val="21"/>
              </w:rPr>
              <w:t>2.药物辨识风险及配伍风险的认识。</w:t>
            </w:r>
          </w:p>
        </w:tc>
      </w:tr>
      <w:tr w14:paraId="05B304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64" w:type="pct"/>
            <w:vAlign w:val="center"/>
          </w:tcPr>
          <w:p w14:paraId="44737BF2">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9</w:t>
            </w:r>
          </w:p>
        </w:tc>
        <w:tc>
          <w:tcPr>
            <w:tcW w:w="450" w:type="pct"/>
            <w:vAlign w:val="center"/>
          </w:tcPr>
          <w:p w14:paraId="1D66BDD8">
            <w:pPr>
              <w:widowControl w:val="0"/>
              <w:snapToGrid w:val="0"/>
              <w:spacing w:line="288" w:lineRule="auto"/>
              <w:jc w:val="both"/>
              <w:rPr>
                <w:rFonts w:cs="Times New Roman"/>
                <w:kern w:val="2"/>
                <w:sz w:val="21"/>
                <w:szCs w:val="21"/>
              </w:rPr>
            </w:pPr>
            <w:r>
              <w:rPr>
                <w:rFonts w:hint="eastAsia" w:cs="Times New Roman"/>
                <w:kern w:val="2"/>
                <w:sz w:val="21"/>
                <w:szCs w:val="21"/>
              </w:rPr>
              <w:t>临床护理中的病人安全</w:t>
            </w:r>
          </w:p>
        </w:tc>
        <w:tc>
          <w:tcPr>
            <w:tcW w:w="1268" w:type="pct"/>
          </w:tcPr>
          <w:p w14:paraId="098DD386">
            <w:pPr>
              <w:widowControl w:val="0"/>
              <w:snapToGrid w:val="0"/>
              <w:spacing w:line="288" w:lineRule="auto"/>
              <w:jc w:val="both"/>
              <w:rPr>
                <w:rFonts w:cs="Times New Roman"/>
                <w:kern w:val="2"/>
                <w:sz w:val="21"/>
                <w:szCs w:val="21"/>
              </w:rPr>
            </w:pPr>
            <w:r>
              <w:rPr>
                <w:rFonts w:hint="eastAsia" w:cs="Times New Roman"/>
                <w:kern w:val="2"/>
                <w:sz w:val="21"/>
                <w:szCs w:val="21"/>
              </w:rPr>
              <w:t>1.理解2</w:t>
            </w:r>
            <w:r>
              <w:rPr>
                <w:rFonts w:cs="Times New Roman"/>
                <w:kern w:val="2"/>
                <w:sz w:val="21"/>
                <w:szCs w:val="21"/>
              </w:rPr>
              <w:t>017</w:t>
            </w:r>
            <w:r>
              <w:rPr>
                <w:rFonts w:hint="eastAsia" w:cs="Times New Roman"/>
                <w:kern w:val="2"/>
                <w:sz w:val="21"/>
                <w:szCs w:val="21"/>
              </w:rPr>
              <w:t>病人十大安全目标；</w:t>
            </w:r>
          </w:p>
          <w:p w14:paraId="20F87D2B">
            <w:pPr>
              <w:widowControl w:val="0"/>
              <w:snapToGrid w:val="0"/>
              <w:spacing w:line="288" w:lineRule="auto"/>
              <w:jc w:val="both"/>
              <w:rPr>
                <w:rFonts w:cs="Times New Roman"/>
                <w:kern w:val="2"/>
                <w:sz w:val="21"/>
                <w:szCs w:val="21"/>
              </w:rPr>
            </w:pPr>
            <w:r>
              <w:rPr>
                <w:rFonts w:hint="eastAsia" w:cs="Times New Roman"/>
                <w:kern w:val="2"/>
                <w:sz w:val="21"/>
                <w:szCs w:val="21"/>
              </w:rPr>
              <w:t>2.知道急诊、住院病人常见的护理风险；</w:t>
            </w:r>
          </w:p>
          <w:p w14:paraId="77E6AB04">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综合应用病人安全管理系统中的管理屏障和物理屏障。</w:t>
            </w:r>
          </w:p>
          <w:p w14:paraId="673BB4D5">
            <w:pPr>
              <w:widowControl w:val="0"/>
              <w:snapToGrid w:val="0"/>
              <w:spacing w:line="288" w:lineRule="auto"/>
              <w:jc w:val="both"/>
              <w:rPr>
                <w:rFonts w:cs="Times New Roman"/>
                <w:kern w:val="2"/>
                <w:sz w:val="21"/>
                <w:szCs w:val="21"/>
              </w:rPr>
            </w:pPr>
          </w:p>
        </w:tc>
        <w:tc>
          <w:tcPr>
            <w:tcW w:w="1349" w:type="pct"/>
          </w:tcPr>
          <w:p w14:paraId="78953D4C">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能描述急诊病情分诊依据；</w:t>
            </w:r>
          </w:p>
          <w:p w14:paraId="105D785C">
            <w:pPr>
              <w:widowControl w:val="0"/>
              <w:snapToGrid w:val="0"/>
              <w:spacing w:line="288" w:lineRule="auto"/>
              <w:jc w:val="both"/>
              <w:rPr>
                <w:rFonts w:cs="Times New Roman"/>
                <w:kern w:val="2"/>
                <w:sz w:val="21"/>
                <w:szCs w:val="21"/>
              </w:rPr>
            </w:pPr>
            <w:r>
              <w:rPr>
                <w:rFonts w:cs="Times New Roman"/>
                <w:kern w:val="2"/>
                <w:sz w:val="21"/>
                <w:szCs w:val="21"/>
              </w:rPr>
              <w:t>2.</w:t>
            </w:r>
            <w:r>
              <w:rPr>
                <w:rFonts w:hint="eastAsia" w:cs="Times New Roman"/>
                <w:kern w:val="2"/>
                <w:sz w:val="21"/>
                <w:szCs w:val="21"/>
              </w:rPr>
              <w:t>运用危重病人院内转运风险的防范措施；</w:t>
            </w:r>
          </w:p>
          <w:p w14:paraId="6CDF1CB0">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理解跌倒和压疮的护理风险评估；</w:t>
            </w:r>
          </w:p>
          <w:p w14:paraId="465C7FC7">
            <w:pPr>
              <w:widowControl w:val="0"/>
              <w:snapToGrid w:val="0"/>
              <w:spacing w:line="288" w:lineRule="auto"/>
              <w:jc w:val="both"/>
              <w:rPr>
                <w:rFonts w:cs="Times New Roman"/>
                <w:kern w:val="2"/>
                <w:sz w:val="21"/>
                <w:szCs w:val="21"/>
              </w:rPr>
            </w:pPr>
          </w:p>
        </w:tc>
        <w:tc>
          <w:tcPr>
            <w:tcW w:w="877" w:type="pct"/>
          </w:tcPr>
          <w:p w14:paraId="659EC83D">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预防不良事件的发生，确保病人在就医过程中免受伤害。</w:t>
            </w:r>
          </w:p>
        </w:tc>
        <w:tc>
          <w:tcPr>
            <w:tcW w:w="790" w:type="pct"/>
          </w:tcPr>
          <w:p w14:paraId="1774A8ED">
            <w:pPr>
              <w:widowControl w:val="0"/>
              <w:snapToGrid w:val="0"/>
              <w:spacing w:line="288" w:lineRule="auto"/>
              <w:jc w:val="both"/>
              <w:rPr>
                <w:rFonts w:cs="Times New Roman"/>
                <w:kern w:val="2"/>
                <w:sz w:val="21"/>
                <w:szCs w:val="21"/>
              </w:rPr>
            </w:pPr>
            <w:r>
              <w:rPr>
                <w:rFonts w:hint="eastAsia" w:cs="Times New Roman"/>
                <w:kern w:val="2"/>
                <w:sz w:val="21"/>
                <w:szCs w:val="21"/>
              </w:rPr>
              <w:t>1.2</w:t>
            </w:r>
            <w:r>
              <w:rPr>
                <w:rFonts w:cs="Times New Roman"/>
                <w:kern w:val="2"/>
                <w:sz w:val="21"/>
                <w:szCs w:val="21"/>
              </w:rPr>
              <w:t>017</w:t>
            </w:r>
            <w:r>
              <w:rPr>
                <w:rFonts w:hint="eastAsia" w:cs="Times New Roman"/>
                <w:kern w:val="2"/>
                <w:sz w:val="21"/>
                <w:szCs w:val="21"/>
              </w:rPr>
              <w:t>病人十大安全目标的正确理解；2</w:t>
            </w:r>
            <w:r>
              <w:rPr>
                <w:rFonts w:cs="Times New Roman"/>
                <w:kern w:val="2"/>
                <w:sz w:val="21"/>
                <w:szCs w:val="21"/>
              </w:rPr>
              <w:t>.PDCA</w:t>
            </w:r>
            <w:r>
              <w:rPr>
                <w:rFonts w:hint="eastAsia" w:cs="Times New Roman"/>
                <w:kern w:val="2"/>
                <w:sz w:val="21"/>
                <w:szCs w:val="21"/>
              </w:rPr>
              <w:t>循环模式在护理安全质量改进中的应用；</w:t>
            </w:r>
          </w:p>
          <w:p w14:paraId="71813AA0">
            <w:pPr>
              <w:widowControl w:val="0"/>
              <w:snapToGrid w:val="0"/>
              <w:spacing w:line="288" w:lineRule="auto"/>
              <w:jc w:val="both"/>
              <w:rPr>
                <w:rFonts w:cs="Times New Roman"/>
                <w:kern w:val="2"/>
                <w:sz w:val="21"/>
                <w:szCs w:val="21"/>
              </w:rPr>
            </w:pPr>
          </w:p>
        </w:tc>
      </w:tr>
      <w:tr w14:paraId="6C2339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264" w:type="pct"/>
            <w:vAlign w:val="center"/>
          </w:tcPr>
          <w:p w14:paraId="3FC4B182">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1</w:t>
            </w:r>
            <w:r>
              <w:rPr>
                <w:rFonts w:cs="Times New Roman"/>
                <w:color w:val="000000"/>
                <w:kern w:val="2"/>
                <w:sz w:val="21"/>
                <w:szCs w:val="21"/>
              </w:rPr>
              <w:t>0</w:t>
            </w:r>
          </w:p>
        </w:tc>
        <w:tc>
          <w:tcPr>
            <w:tcW w:w="450" w:type="pct"/>
            <w:vAlign w:val="center"/>
          </w:tcPr>
          <w:p w14:paraId="77DAA416">
            <w:pPr>
              <w:widowControl w:val="0"/>
              <w:snapToGrid w:val="0"/>
              <w:spacing w:line="288" w:lineRule="auto"/>
              <w:jc w:val="both"/>
              <w:rPr>
                <w:rFonts w:cs="Times New Roman"/>
                <w:kern w:val="2"/>
                <w:sz w:val="21"/>
                <w:szCs w:val="21"/>
              </w:rPr>
            </w:pPr>
            <w:r>
              <w:rPr>
                <w:rFonts w:hint="eastAsia" w:cs="Times New Roman"/>
                <w:kern w:val="2"/>
                <w:sz w:val="21"/>
                <w:szCs w:val="21"/>
              </w:rPr>
              <w:t>病人参与病人安全的教育</w:t>
            </w:r>
          </w:p>
        </w:tc>
        <w:tc>
          <w:tcPr>
            <w:tcW w:w="1268" w:type="pct"/>
          </w:tcPr>
          <w:p w14:paraId="19D5D45C">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知道健康教育的概念及其相关理论；</w:t>
            </w:r>
          </w:p>
          <w:p w14:paraId="3B408458">
            <w:pPr>
              <w:widowControl w:val="0"/>
              <w:snapToGrid w:val="0"/>
              <w:spacing w:line="288" w:lineRule="auto"/>
              <w:jc w:val="both"/>
              <w:rPr>
                <w:rFonts w:cs="Times New Roman"/>
                <w:kern w:val="2"/>
                <w:sz w:val="21"/>
                <w:szCs w:val="21"/>
              </w:rPr>
            </w:pPr>
            <w:r>
              <w:rPr>
                <w:rFonts w:cs="Times New Roman"/>
                <w:kern w:val="2"/>
                <w:sz w:val="21"/>
                <w:szCs w:val="21"/>
              </w:rPr>
              <w:t>2.</w:t>
            </w:r>
            <w:r>
              <w:rPr>
                <w:rFonts w:hint="eastAsia" w:cs="Times New Roman"/>
                <w:kern w:val="2"/>
                <w:sz w:val="21"/>
                <w:szCs w:val="21"/>
              </w:rPr>
              <w:t>评价病人参与病人安全的角色作用与影响因素；</w:t>
            </w:r>
            <w:r>
              <w:rPr>
                <w:rFonts w:cs="Times New Roman"/>
                <w:kern w:val="2"/>
                <w:sz w:val="21"/>
                <w:szCs w:val="21"/>
              </w:rPr>
              <w:t xml:space="preserve"> </w:t>
            </w:r>
          </w:p>
          <w:p w14:paraId="35220347">
            <w:pPr>
              <w:widowControl w:val="0"/>
              <w:snapToGrid w:val="0"/>
              <w:spacing w:line="288" w:lineRule="auto"/>
              <w:jc w:val="both"/>
              <w:rPr>
                <w:rFonts w:cs="Times New Roman"/>
                <w:kern w:val="2"/>
                <w:sz w:val="21"/>
                <w:szCs w:val="21"/>
              </w:rPr>
            </w:pPr>
            <w:r>
              <w:rPr>
                <w:rFonts w:hint="eastAsia" w:cs="Times New Roman"/>
                <w:kern w:val="2"/>
                <w:sz w:val="21"/>
                <w:szCs w:val="21"/>
              </w:rPr>
              <w:t>3</w:t>
            </w:r>
            <w:r>
              <w:rPr>
                <w:rFonts w:cs="Times New Roman"/>
                <w:kern w:val="2"/>
                <w:sz w:val="21"/>
                <w:szCs w:val="21"/>
              </w:rPr>
              <w:t>.</w:t>
            </w:r>
            <w:r>
              <w:rPr>
                <w:rFonts w:hint="eastAsia" w:cs="Times New Roman"/>
                <w:kern w:val="2"/>
                <w:sz w:val="21"/>
                <w:szCs w:val="21"/>
              </w:rPr>
              <w:t xml:space="preserve">知晓女性特殊生理时期的安全教育策略。 </w:t>
            </w:r>
          </w:p>
        </w:tc>
        <w:tc>
          <w:tcPr>
            <w:tcW w:w="1349" w:type="pct"/>
          </w:tcPr>
          <w:p w14:paraId="74E4966D">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能说出自我管理的任务；</w:t>
            </w:r>
          </w:p>
          <w:p w14:paraId="006BD96C">
            <w:pPr>
              <w:widowControl w:val="0"/>
              <w:snapToGrid w:val="0"/>
              <w:spacing w:line="288" w:lineRule="auto"/>
              <w:jc w:val="both"/>
              <w:rPr>
                <w:rFonts w:cs="Times New Roman"/>
                <w:kern w:val="2"/>
                <w:sz w:val="21"/>
                <w:szCs w:val="21"/>
              </w:rPr>
            </w:pPr>
            <w:r>
              <w:rPr>
                <w:rFonts w:cs="Times New Roman"/>
                <w:kern w:val="2"/>
                <w:sz w:val="21"/>
                <w:szCs w:val="21"/>
              </w:rPr>
              <w:t>2.</w:t>
            </w:r>
            <w:r>
              <w:rPr>
                <w:rFonts w:hint="eastAsia" w:cs="Times New Roman"/>
                <w:kern w:val="2"/>
                <w:sz w:val="21"/>
                <w:szCs w:val="21"/>
              </w:rPr>
              <w:t>能理解医院内病人参与概念框架；</w:t>
            </w:r>
          </w:p>
          <w:p w14:paraId="4480C798">
            <w:pPr>
              <w:widowControl w:val="0"/>
              <w:snapToGrid w:val="0"/>
              <w:spacing w:line="288" w:lineRule="auto"/>
              <w:jc w:val="both"/>
              <w:rPr>
                <w:rFonts w:cs="Times New Roman"/>
                <w:kern w:val="2"/>
                <w:sz w:val="21"/>
                <w:szCs w:val="21"/>
              </w:rPr>
            </w:pPr>
            <w:r>
              <w:rPr>
                <w:rFonts w:cs="Times New Roman"/>
                <w:kern w:val="2"/>
                <w:sz w:val="21"/>
                <w:szCs w:val="21"/>
              </w:rPr>
              <w:t>3.</w:t>
            </w:r>
            <w:r>
              <w:rPr>
                <w:rFonts w:hint="eastAsia" w:cs="Times New Roman"/>
                <w:kern w:val="2"/>
                <w:sz w:val="21"/>
                <w:szCs w:val="21"/>
              </w:rPr>
              <w:t>能说出婴幼儿期和青少年期常见的安全隐患。</w:t>
            </w:r>
          </w:p>
        </w:tc>
        <w:tc>
          <w:tcPr>
            <w:tcW w:w="877" w:type="pct"/>
          </w:tcPr>
          <w:p w14:paraId="1B75F760">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 xml:space="preserve">鼓励病人主动参与医疗过程，树立以人的健康为中心的整体护理理念。 </w:t>
            </w:r>
          </w:p>
        </w:tc>
        <w:tc>
          <w:tcPr>
            <w:tcW w:w="790" w:type="pct"/>
          </w:tcPr>
          <w:p w14:paraId="179FE50F">
            <w:pPr>
              <w:widowControl w:val="0"/>
              <w:snapToGrid w:val="0"/>
              <w:spacing w:line="288" w:lineRule="auto"/>
              <w:jc w:val="both"/>
              <w:rPr>
                <w:rFonts w:cs="Times New Roman"/>
                <w:kern w:val="2"/>
                <w:sz w:val="21"/>
                <w:szCs w:val="21"/>
              </w:rPr>
            </w:pPr>
            <w:r>
              <w:rPr>
                <w:rFonts w:hint="eastAsia" w:cs="Times New Roman"/>
                <w:kern w:val="2"/>
                <w:sz w:val="21"/>
                <w:szCs w:val="21"/>
              </w:rPr>
              <w:t>1</w:t>
            </w:r>
            <w:r>
              <w:rPr>
                <w:rFonts w:cs="Times New Roman"/>
                <w:kern w:val="2"/>
                <w:sz w:val="21"/>
                <w:szCs w:val="21"/>
              </w:rPr>
              <w:t>.</w:t>
            </w:r>
            <w:r>
              <w:rPr>
                <w:rFonts w:hint="eastAsia" w:cs="Times New Roman"/>
                <w:kern w:val="2"/>
                <w:sz w:val="21"/>
                <w:szCs w:val="21"/>
              </w:rPr>
              <w:t>病人参与病人安全策略的运用。</w:t>
            </w:r>
          </w:p>
        </w:tc>
      </w:tr>
    </w:tbl>
    <w:p w14:paraId="1E5C27C9">
      <w:pPr>
        <w:pStyle w:val="20"/>
        <w:spacing w:before="81" w:after="163"/>
      </w:pPr>
    </w:p>
    <w:p w14:paraId="506F07AF">
      <w:pPr>
        <w:pStyle w:val="20"/>
        <w:spacing w:before="81" w:after="163"/>
      </w:pPr>
      <w:r>
        <w:rPr>
          <w:rFonts w:hint="eastAsia"/>
        </w:rPr>
        <w:t>（二）教学单元对课程目标的支撑关系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1024"/>
        <w:gridCol w:w="1016"/>
        <w:gridCol w:w="992"/>
        <w:gridCol w:w="895"/>
        <w:gridCol w:w="1016"/>
      </w:tblGrid>
      <w:tr w14:paraId="324D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3379" w:type="dxa"/>
            <w:tcBorders>
              <w:top w:val="single" w:color="auto" w:sz="12" w:space="0"/>
              <w:left w:val="single" w:color="auto" w:sz="12" w:space="0"/>
              <w:tl2br w:val="single" w:color="auto" w:sz="4" w:space="0"/>
            </w:tcBorders>
          </w:tcPr>
          <w:p w14:paraId="4E86B138">
            <w:pPr>
              <w:pStyle w:val="16"/>
              <w:ind w:firstLine="489"/>
              <w:jc w:val="right"/>
              <w:rPr>
                <w:szCs w:val="16"/>
              </w:rPr>
            </w:pPr>
            <w:r>
              <w:rPr>
                <w:rFonts w:hint="eastAsia"/>
                <w:szCs w:val="16"/>
              </w:rPr>
              <w:t>课程目标</w:t>
            </w:r>
          </w:p>
          <w:p w14:paraId="204999B9">
            <w:pPr>
              <w:pStyle w:val="16"/>
              <w:ind w:right="210"/>
              <w:jc w:val="left"/>
              <w:rPr>
                <w:szCs w:val="16"/>
              </w:rPr>
            </w:pPr>
          </w:p>
          <w:p w14:paraId="429B02A8">
            <w:pPr>
              <w:pStyle w:val="16"/>
              <w:ind w:right="210"/>
              <w:jc w:val="left"/>
              <w:rPr>
                <w:szCs w:val="16"/>
              </w:rPr>
            </w:pPr>
            <w:r>
              <w:rPr>
                <w:rFonts w:hint="eastAsia"/>
                <w:szCs w:val="16"/>
              </w:rPr>
              <w:t>教学单元</w:t>
            </w:r>
          </w:p>
        </w:tc>
        <w:tc>
          <w:tcPr>
            <w:tcW w:w="1000" w:type="dxa"/>
            <w:tcBorders>
              <w:top w:val="single" w:color="auto" w:sz="12" w:space="0"/>
            </w:tcBorders>
            <w:vAlign w:val="center"/>
          </w:tcPr>
          <w:p w14:paraId="4FC1C690">
            <w:pPr>
              <w:pStyle w:val="16"/>
              <w:rPr>
                <w:szCs w:val="16"/>
              </w:rPr>
            </w:pPr>
            <w:r>
              <w:rPr>
                <w:rFonts w:hint="eastAsia"/>
                <w:szCs w:val="16"/>
              </w:rPr>
              <w:t>知识目标1</w:t>
            </w:r>
          </w:p>
        </w:tc>
        <w:tc>
          <w:tcPr>
            <w:tcW w:w="992" w:type="dxa"/>
            <w:tcBorders>
              <w:top w:val="single" w:color="auto" w:sz="12" w:space="0"/>
            </w:tcBorders>
            <w:vAlign w:val="center"/>
          </w:tcPr>
          <w:p w14:paraId="57EB72DB">
            <w:pPr>
              <w:pStyle w:val="16"/>
              <w:rPr>
                <w:szCs w:val="16"/>
              </w:rPr>
            </w:pPr>
            <w:r>
              <w:rPr>
                <w:rFonts w:hint="eastAsia"/>
                <w:szCs w:val="16"/>
              </w:rPr>
              <w:t>知识目标2</w:t>
            </w:r>
          </w:p>
        </w:tc>
        <w:tc>
          <w:tcPr>
            <w:tcW w:w="969" w:type="dxa"/>
            <w:tcBorders>
              <w:top w:val="single" w:color="auto" w:sz="12" w:space="0"/>
            </w:tcBorders>
            <w:vAlign w:val="center"/>
          </w:tcPr>
          <w:p w14:paraId="7EA20EA7">
            <w:pPr>
              <w:pStyle w:val="16"/>
              <w:rPr>
                <w:szCs w:val="16"/>
              </w:rPr>
            </w:pPr>
            <w:r>
              <w:rPr>
                <w:rFonts w:hint="eastAsia"/>
                <w:szCs w:val="16"/>
              </w:rPr>
              <w:t>技能目标1</w:t>
            </w:r>
          </w:p>
        </w:tc>
        <w:tc>
          <w:tcPr>
            <w:tcW w:w="874" w:type="dxa"/>
            <w:tcBorders>
              <w:top w:val="single" w:color="auto" w:sz="12" w:space="0"/>
            </w:tcBorders>
            <w:vAlign w:val="center"/>
          </w:tcPr>
          <w:p w14:paraId="2A19075E">
            <w:pPr>
              <w:pStyle w:val="16"/>
              <w:rPr>
                <w:szCs w:val="16"/>
              </w:rPr>
            </w:pPr>
            <w:r>
              <w:rPr>
                <w:rFonts w:hint="eastAsia"/>
                <w:szCs w:val="16"/>
              </w:rPr>
              <w:t>技能目标2</w:t>
            </w:r>
          </w:p>
        </w:tc>
        <w:tc>
          <w:tcPr>
            <w:tcW w:w="992" w:type="dxa"/>
            <w:tcBorders>
              <w:top w:val="single" w:color="auto" w:sz="12" w:space="0"/>
              <w:right w:val="single" w:color="auto" w:sz="12" w:space="0"/>
            </w:tcBorders>
            <w:vAlign w:val="center"/>
          </w:tcPr>
          <w:p w14:paraId="1D3C6DCD">
            <w:pPr>
              <w:pStyle w:val="16"/>
              <w:rPr>
                <w:szCs w:val="16"/>
              </w:rPr>
            </w:pPr>
            <w:r>
              <w:rPr>
                <w:rFonts w:hint="eastAsia"/>
                <w:szCs w:val="16"/>
              </w:rPr>
              <w:t>素养目标</w:t>
            </w:r>
          </w:p>
        </w:tc>
      </w:tr>
      <w:tr w14:paraId="7DF0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547819C3">
            <w:pPr>
              <w:pStyle w:val="17"/>
            </w:pPr>
            <w:r>
              <w:rPr>
                <w:rFonts w:hint="eastAsia"/>
              </w:rPr>
              <w:t>第一章</w:t>
            </w:r>
            <w:r>
              <w:rPr>
                <w:rFonts w:hint="eastAsia" w:ascii="宋体" w:hAnsi="宋体"/>
              </w:rPr>
              <w:t>绪论</w:t>
            </w:r>
          </w:p>
        </w:tc>
        <w:tc>
          <w:tcPr>
            <w:tcW w:w="1000" w:type="dxa"/>
            <w:vAlign w:val="center"/>
          </w:tcPr>
          <w:p w14:paraId="1E8126DB">
            <w:pPr>
              <w:pStyle w:val="17"/>
            </w:pPr>
            <w:r>
              <w:rPr>
                <w:rFonts w:hint="eastAsia"/>
              </w:rPr>
              <w:t>√</w:t>
            </w:r>
          </w:p>
        </w:tc>
        <w:tc>
          <w:tcPr>
            <w:tcW w:w="992" w:type="dxa"/>
            <w:vAlign w:val="center"/>
          </w:tcPr>
          <w:p w14:paraId="5BBC714E">
            <w:pPr>
              <w:pStyle w:val="17"/>
            </w:pPr>
          </w:p>
        </w:tc>
        <w:tc>
          <w:tcPr>
            <w:tcW w:w="969" w:type="dxa"/>
            <w:vAlign w:val="center"/>
          </w:tcPr>
          <w:p w14:paraId="67539DB1">
            <w:pPr>
              <w:pStyle w:val="17"/>
            </w:pPr>
          </w:p>
        </w:tc>
        <w:tc>
          <w:tcPr>
            <w:tcW w:w="874" w:type="dxa"/>
          </w:tcPr>
          <w:p w14:paraId="0DD57FC6">
            <w:pPr>
              <w:pStyle w:val="17"/>
            </w:pPr>
          </w:p>
        </w:tc>
        <w:tc>
          <w:tcPr>
            <w:tcW w:w="992" w:type="dxa"/>
            <w:tcBorders>
              <w:right w:val="single" w:color="auto" w:sz="12" w:space="0"/>
            </w:tcBorders>
            <w:vAlign w:val="center"/>
          </w:tcPr>
          <w:p w14:paraId="529374B1">
            <w:pPr>
              <w:pStyle w:val="17"/>
            </w:pPr>
            <w:r>
              <w:rPr>
                <w:rFonts w:hint="eastAsia"/>
              </w:rPr>
              <w:t>√</w:t>
            </w:r>
          </w:p>
        </w:tc>
      </w:tr>
      <w:tr w14:paraId="6763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122F068B">
            <w:pPr>
              <w:pStyle w:val="17"/>
            </w:pPr>
            <w:r>
              <w:rPr>
                <w:rFonts w:hint="eastAsia" w:ascii="宋体" w:hAnsi="宋体"/>
              </w:rPr>
              <w:t>第二章病人安全管理组织与团队</w:t>
            </w:r>
          </w:p>
        </w:tc>
        <w:tc>
          <w:tcPr>
            <w:tcW w:w="1000" w:type="dxa"/>
            <w:vAlign w:val="center"/>
          </w:tcPr>
          <w:p w14:paraId="311AB2AD">
            <w:pPr>
              <w:pStyle w:val="17"/>
            </w:pPr>
            <w:r>
              <w:rPr>
                <w:rFonts w:hint="eastAsia"/>
              </w:rPr>
              <w:t>√</w:t>
            </w:r>
          </w:p>
        </w:tc>
        <w:tc>
          <w:tcPr>
            <w:tcW w:w="992" w:type="dxa"/>
            <w:vAlign w:val="center"/>
          </w:tcPr>
          <w:p w14:paraId="684568D1">
            <w:pPr>
              <w:pStyle w:val="17"/>
            </w:pPr>
            <w:r>
              <w:rPr>
                <w:rFonts w:hint="eastAsia"/>
              </w:rPr>
              <w:t>√</w:t>
            </w:r>
          </w:p>
        </w:tc>
        <w:tc>
          <w:tcPr>
            <w:tcW w:w="969" w:type="dxa"/>
            <w:vAlign w:val="center"/>
          </w:tcPr>
          <w:p w14:paraId="49D30F30">
            <w:pPr>
              <w:pStyle w:val="17"/>
            </w:pPr>
            <w:r>
              <w:rPr>
                <w:rFonts w:hint="eastAsia"/>
              </w:rPr>
              <w:t>√</w:t>
            </w:r>
          </w:p>
        </w:tc>
        <w:tc>
          <w:tcPr>
            <w:tcW w:w="874" w:type="dxa"/>
          </w:tcPr>
          <w:p w14:paraId="40FA888B">
            <w:pPr>
              <w:pStyle w:val="17"/>
            </w:pPr>
          </w:p>
        </w:tc>
        <w:tc>
          <w:tcPr>
            <w:tcW w:w="992" w:type="dxa"/>
            <w:tcBorders>
              <w:right w:val="single" w:color="auto" w:sz="12" w:space="0"/>
            </w:tcBorders>
            <w:vAlign w:val="center"/>
          </w:tcPr>
          <w:p w14:paraId="665509BF">
            <w:pPr>
              <w:pStyle w:val="17"/>
            </w:pPr>
            <w:r>
              <w:rPr>
                <w:rFonts w:hint="eastAsia"/>
              </w:rPr>
              <w:t>√</w:t>
            </w:r>
          </w:p>
        </w:tc>
      </w:tr>
      <w:tr w14:paraId="4555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7A1516C3">
            <w:pPr>
              <w:pStyle w:val="17"/>
              <w:rPr>
                <w:rFonts w:ascii="宋体" w:hAnsi="宋体"/>
              </w:rPr>
            </w:pPr>
            <w:r>
              <w:rPr>
                <w:rFonts w:hint="eastAsia" w:ascii="宋体" w:hAnsi="宋体"/>
              </w:rPr>
              <w:t>第三章人为因素工程学与病人安全</w:t>
            </w:r>
          </w:p>
        </w:tc>
        <w:tc>
          <w:tcPr>
            <w:tcW w:w="1000" w:type="dxa"/>
            <w:vAlign w:val="center"/>
          </w:tcPr>
          <w:p w14:paraId="16173938">
            <w:pPr>
              <w:pStyle w:val="17"/>
            </w:pPr>
            <w:r>
              <w:rPr>
                <w:rFonts w:hint="eastAsia"/>
              </w:rPr>
              <w:t>√</w:t>
            </w:r>
          </w:p>
        </w:tc>
        <w:tc>
          <w:tcPr>
            <w:tcW w:w="992" w:type="dxa"/>
            <w:vAlign w:val="center"/>
          </w:tcPr>
          <w:p w14:paraId="13FACEEC">
            <w:pPr>
              <w:pStyle w:val="17"/>
            </w:pPr>
            <w:r>
              <w:rPr>
                <w:rFonts w:hint="eastAsia"/>
              </w:rPr>
              <w:t>√</w:t>
            </w:r>
          </w:p>
        </w:tc>
        <w:tc>
          <w:tcPr>
            <w:tcW w:w="969" w:type="dxa"/>
            <w:vAlign w:val="center"/>
          </w:tcPr>
          <w:p w14:paraId="17E0E258">
            <w:pPr>
              <w:pStyle w:val="17"/>
            </w:pPr>
            <w:r>
              <w:rPr>
                <w:rFonts w:hint="eastAsia"/>
              </w:rPr>
              <w:t>√</w:t>
            </w:r>
          </w:p>
        </w:tc>
        <w:tc>
          <w:tcPr>
            <w:tcW w:w="874" w:type="dxa"/>
          </w:tcPr>
          <w:p w14:paraId="2957FCB2">
            <w:pPr>
              <w:pStyle w:val="17"/>
            </w:pPr>
          </w:p>
        </w:tc>
        <w:tc>
          <w:tcPr>
            <w:tcW w:w="992" w:type="dxa"/>
            <w:tcBorders>
              <w:right w:val="single" w:color="auto" w:sz="12" w:space="0"/>
            </w:tcBorders>
            <w:vAlign w:val="center"/>
          </w:tcPr>
          <w:p w14:paraId="2F861161">
            <w:pPr>
              <w:pStyle w:val="17"/>
            </w:pPr>
            <w:r>
              <w:rPr>
                <w:rFonts w:hint="eastAsia"/>
              </w:rPr>
              <w:t>√</w:t>
            </w:r>
          </w:p>
        </w:tc>
      </w:tr>
      <w:tr w14:paraId="1801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7EE11CCC">
            <w:pPr>
              <w:jc w:val="center"/>
              <w:rPr>
                <w:sz w:val="21"/>
                <w:szCs w:val="21"/>
              </w:rPr>
            </w:pPr>
            <w:r>
              <w:rPr>
                <w:rFonts w:hint="eastAsia"/>
                <w:sz w:val="21"/>
                <w:szCs w:val="21"/>
              </w:rPr>
              <w:t>第四章病人安全文化</w:t>
            </w:r>
          </w:p>
        </w:tc>
        <w:tc>
          <w:tcPr>
            <w:tcW w:w="1000" w:type="dxa"/>
            <w:vAlign w:val="center"/>
          </w:tcPr>
          <w:p w14:paraId="1D1AAD15">
            <w:pPr>
              <w:pStyle w:val="17"/>
            </w:pPr>
            <w:r>
              <w:rPr>
                <w:rFonts w:hint="eastAsia"/>
              </w:rPr>
              <w:t>√</w:t>
            </w:r>
          </w:p>
        </w:tc>
        <w:tc>
          <w:tcPr>
            <w:tcW w:w="992" w:type="dxa"/>
            <w:vAlign w:val="center"/>
          </w:tcPr>
          <w:p w14:paraId="236EB28E">
            <w:pPr>
              <w:pStyle w:val="17"/>
            </w:pPr>
            <w:r>
              <w:rPr>
                <w:rFonts w:hint="eastAsia"/>
              </w:rPr>
              <w:t>√</w:t>
            </w:r>
          </w:p>
        </w:tc>
        <w:tc>
          <w:tcPr>
            <w:tcW w:w="969" w:type="dxa"/>
            <w:vAlign w:val="center"/>
          </w:tcPr>
          <w:p w14:paraId="68C4C6B4">
            <w:pPr>
              <w:pStyle w:val="17"/>
            </w:pPr>
            <w:r>
              <w:rPr>
                <w:rFonts w:hint="eastAsia"/>
              </w:rPr>
              <w:t>√</w:t>
            </w:r>
          </w:p>
        </w:tc>
        <w:tc>
          <w:tcPr>
            <w:tcW w:w="874" w:type="dxa"/>
          </w:tcPr>
          <w:p w14:paraId="6007CE6A">
            <w:pPr>
              <w:pStyle w:val="17"/>
            </w:pPr>
            <w:r>
              <w:rPr>
                <w:rFonts w:hint="eastAsia"/>
              </w:rPr>
              <w:t>√</w:t>
            </w:r>
          </w:p>
        </w:tc>
        <w:tc>
          <w:tcPr>
            <w:tcW w:w="992" w:type="dxa"/>
            <w:tcBorders>
              <w:right w:val="single" w:color="auto" w:sz="12" w:space="0"/>
            </w:tcBorders>
            <w:vAlign w:val="center"/>
          </w:tcPr>
          <w:p w14:paraId="2686AF59">
            <w:pPr>
              <w:pStyle w:val="17"/>
            </w:pPr>
            <w:r>
              <w:rPr>
                <w:rFonts w:hint="eastAsia"/>
              </w:rPr>
              <w:t>√</w:t>
            </w:r>
          </w:p>
        </w:tc>
      </w:tr>
      <w:tr w14:paraId="4FBF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11623D71">
            <w:pPr>
              <w:jc w:val="center"/>
              <w:rPr>
                <w:sz w:val="21"/>
                <w:szCs w:val="21"/>
              </w:rPr>
            </w:pPr>
            <w:r>
              <w:rPr>
                <w:rFonts w:hint="eastAsia"/>
                <w:sz w:val="21"/>
                <w:szCs w:val="21"/>
              </w:rPr>
              <w:t>第五章沟通与病人安全</w:t>
            </w:r>
          </w:p>
        </w:tc>
        <w:tc>
          <w:tcPr>
            <w:tcW w:w="1000" w:type="dxa"/>
            <w:vAlign w:val="center"/>
          </w:tcPr>
          <w:p w14:paraId="00DBDDD0">
            <w:pPr>
              <w:pStyle w:val="17"/>
            </w:pPr>
            <w:r>
              <w:rPr>
                <w:rFonts w:hint="eastAsia"/>
              </w:rPr>
              <w:t>√</w:t>
            </w:r>
          </w:p>
        </w:tc>
        <w:tc>
          <w:tcPr>
            <w:tcW w:w="992" w:type="dxa"/>
            <w:vAlign w:val="center"/>
          </w:tcPr>
          <w:p w14:paraId="0DD92C2A">
            <w:pPr>
              <w:pStyle w:val="17"/>
            </w:pPr>
            <w:r>
              <w:rPr>
                <w:rFonts w:hint="eastAsia"/>
              </w:rPr>
              <w:t>√</w:t>
            </w:r>
          </w:p>
        </w:tc>
        <w:tc>
          <w:tcPr>
            <w:tcW w:w="969" w:type="dxa"/>
            <w:vAlign w:val="center"/>
          </w:tcPr>
          <w:p w14:paraId="5F7FF231">
            <w:pPr>
              <w:pStyle w:val="17"/>
            </w:pPr>
            <w:r>
              <w:rPr>
                <w:rFonts w:hint="eastAsia"/>
              </w:rPr>
              <w:t>√</w:t>
            </w:r>
          </w:p>
        </w:tc>
        <w:tc>
          <w:tcPr>
            <w:tcW w:w="874" w:type="dxa"/>
          </w:tcPr>
          <w:p w14:paraId="4A7B2A37">
            <w:pPr>
              <w:pStyle w:val="17"/>
            </w:pPr>
            <w:r>
              <w:rPr>
                <w:rFonts w:hint="eastAsia"/>
              </w:rPr>
              <w:t>√</w:t>
            </w:r>
          </w:p>
        </w:tc>
        <w:tc>
          <w:tcPr>
            <w:tcW w:w="992" w:type="dxa"/>
            <w:tcBorders>
              <w:right w:val="single" w:color="auto" w:sz="12" w:space="0"/>
            </w:tcBorders>
            <w:vAlign w:val="center"/>
          </w:tcPr>
          <w:p w14:paraId="720F4B0E">
            <w:pPr>
              <w:pStyle w:val="17"/>
            </w:pPr>
            <w:r>
              <w:rPr>
                <w:rFonts w:hint="eastAsia"/>
              </w:rPr>
              <w:t>√</w:t>
            </w:r>
          </w:p>
        </w:tc>
      </w:tr>
      <w:tr w14:paraId="0115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7AB0A05E">
            <w:pPr>
              <w:jc w:val="center"/>
              <w:rPr>
                <w:sz w:val="21"/>
                <w:szCs w:val="21"/>
              </w:rPr>
            </w:pPr>
            <w:r>
              <w:rPr>
                <w:rFonts w:hint="eastAsia"/>
                <w:sz w:val="21"/>
                <w:szCs w:val="21"/>
              </w:rPr>
              <w:t>第六章医院感染的预防与控制</w:t>
            </w:r>
          </w:p>
        </w:tc>
        <w:tc>
          <w:tcPr>
            <w:tcW w:w="1000" w:type="dxa"/>
            <w:vAlign w:val="center"/>
          </w:tcPr>
          <w:p w14:paraId="650534A0">
            <w:pPr>
              <w:pStyle w:val="17"/>
            </w:pPr>
            <w:r>
              <w:rPr>
                <w:rFonts w:hint="eastAsia"/>
              </w:rPr>
              <w:t>√</w:t>
            </w:r>
          </w:p>
        </w:tc>
        <w:tc>
          <w:tcPr>
            <w:tcW w:w="992" w:type="dxa"/>
            <w:vAlign w:val="center"/>
          </w:tcPr>
          <w:p w14:paraId="13C0CF58">
            <w:pPr>
              <w:pStyle w:val="17"/>
            </w:pPr>
            <w:r>
              <w:rPr>
                <w:rFonts w:hint="eastAsia"/>
              </w:rPr>
              <w:t>√</w:t>
            </w:r>
          </w:p>
        </w:tc>
        <w:tc>
          <w:tcPr>
            <w:tcW w:w="969" w:type="dxa"/>
            <w:vAlign w:val="center"/>
          </w:tcPr>
          <w:p w14:paraId="66DF280D">
            <w:pPr>
              <w:pStyle w:val="17"/>
            </w:pPr>
            <w:r>
              <w:rPr>
                <w:rFonts w:hint="eastAsia"/>
              </w:rPr>
              <w:t>√</w:t>
            </w:r>
          </w:p>
        </w:tc>
        <w:tc>
          <w:tcPr>
            <w:tcW w:w="874" w:type="dxa"/>
          </w:tcPr>
          <w:p w14:paraId="1A1066B2">
            <w:pPr>
              <w:pStyle w:val="17"/>
            </w:pPr>
            <w:r>
              <w:rPr>
                <w:rFonts w:hint="eastAsia"/>
              </w:rPr>
              <w:t>√</w:t>
            </w:r>
          </w:p>
        </w:tc>
        <w:tc>
          <w:tcPr>
            <w:tcW w:w="992" w:type="dxa"/>
            <w:tcBorders>
              <w:right w:val="single" w:color="auto" w:sz="12" w:space="0"/>
            </w:tcBorders>
            <w:vAlign w:val="center"/>
          </w:tcPr>
          <w:p w14:paraId="02408AB1">
            <w:pPr>
              <w:pStyle w:val="17"/>
            </w:pPr>
            <w:r>
              <w:rPr>
                <w:rFonts w:hint="eastAsia"/>
              </w:rPr>
              <w:t>√</w:t>
            </w:r>
          </w:p>
        </w:tc>
      </w:tr>
      <w:tr w14:paraId="371A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2B63337C">
            <w:pPr>
              <w:jc w:val="center"/>
              <w:rPr>
                <w:sz w:val="21"/>
                <w:szCs w:val="21"/>
              </w:rPr>
            </w:pPr>
            <w:r>
              <w:rPr>
                <w:rFonts w:hint="eastAsia"/>
                <w:sz w:val="21"/>
                <w:szCs w:val="21"/>
              </w:rPr>
              <w:t>第七章侵入性操作与病人安全</w:t>
            </w:r>
          </w:p>
        </w:tc>
        <w:tc>
          <w:tcPr>
            <w:tcW w:w="1000" w:type="dxa"/>
            <w:vAlign w:val="center"/>
          </w:tcPr>
          <w:p w14:paraId="17BAF68F">
            <w:pPr>
              <w:pStyle w:val="17"/>
            </w:pPr>
            <w:r>
              <w:rPr>
                <w:rFonts w:hint="eastAsia"/>
              </w:rPr>
              <w:t>√</w:t>
            </w:r>
          </w:p>
        </w:tc>
        <w:tc>
          <w:tcPr>
            <w:tcW w:w="992" w:type="dxa"/>
            <w:vAlign w:val="center"/>
          </w:tcPr>
          <w:p w14:paraId="7A917C76">
            <w:pPr>
              <w:pStyle w:val="17"/>
            </w:pPr>
            <w:r>
              <w:rPr>
                <w:rFonts w:hint="eastAsia"/>
              </w:rPr>
              <w:t>√</w:t>
            </w:r>
          </w:p>
        </w:tc>
        <w:tc>
          <w:tcPr>
            <w:tcW w:w="969" w:type="dxa"/>
            <w:vAlign w:val="center"/>
          </w:tcPr>
          <w:p w14:paraId="3A60BF61">
            <w:pPr>
              <w:pStyle w:val="17"/>
            </w:pPr>
            <w:r>
              <w:rPr>
                <w:rFonts w:hint="eastAsia"/>
              </w:rPr>
              <w:t>√</w:t>
            </w:r>
          </w:p>
        </w:tc>
        <w:tc>
          <w:tcPr>
            <w:tcW w:w="874" w:type="dxa"/>
          </w:tcPr>
          <w:p w14:paraId="2C9ABBE3">
            <w:pPr>
              <w:pStyle w:val="17"/>
            </w:pPr>
            <w:r>
              <w:rPr>
                <w:rFonts w:hint="eastAsia"/>
              </w:rPr>
              <w:t>√</w:t>
            </w:r>
          </w:p>
        </w:tc>
        <w:tc>
          <w:tcPr>
            <w:tcW w:w="992" w:type="dxa"/>
            <w:tcBorders>
              <w:right w:val="single" w:color="auto" w:sz="12" w:space="0"/>
            </w:tcBorders>
            <w:vAlign w:val="center"/>
          </w:tcPr>
          <w:p w14:paraId="4726D087">
            <w:pPr>
              <w:pStyle w:val="17"/>
            </w:pPr>
            <w:r>
              <w:rPr>
                <w:rFonts w:hint="eastAsia"/>
              </w:rPr>
              <w:t>√</w:t>
            </w:r>
          </w:p>
        </w:tc>
      </w:tr>
      <w:tr w14:paraId="5AFC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11E41E6B">
            <w:pPr>
              <w:jc w:val="center"/>
              <w:rPr>
                <w:sz w:val="21"/>
                <w:szCs w:val="21"/>
              </w:rPr>
            </w:pPr>
            <w:r>
              <w:rPr>
                <w:rFonts w:hint="eastAsia"/>
                <w:sz w:val="21"/>
                <w:szCs w:val="21"/>
              </w:rPr>
              <w:t>第八章用药安全</w:t>
            </w:r>
          </w:p>
        </w:tc>
        <w:tc>
          <w:tcPr>
            <w:tcW w:w="1000" w:type="dxa"/>
            <w:vAlign w:val="center"/>
          </w:tcPr>
          <w:p w14:paraId="776FA6D7">
            <w:pPr>
              <w:pStyle w:val="17"/>
            </w:pPr>
            <w:r>
              <w:rPr>
                <w:rFonts w:hint="eastAsia"/>
              </w:rPr>
              <w:t>√</w:t>
            </w:r>
          </w:p>
        </w:tc>
        <w:tc>
          <w:tcPr>
            <w:tcW w:w="992" w:type="dxa"/>
            <w:vAlign w:val="center"/>
          </w:tcPr>
          <w:p w14:paraId="11607A3F">
            <w:pPr>
              <w:pStyle w:val="17"/>
            </w:pPr>
            <w:r>
              <w:rPr>
                <w:rFonts w:hint="eastAsia"/>
              </w:rPr>
              <w:t>√</w:t>
            </w:r>
          </w:p>
        </w:tc>
        <w:tc>
          <w:tcPr>
            <w:tcW w:w="969" w:type="dxa"/>
            <w:vAlign w:val="center"/>
          </w:tcPr>
          <w:p w14:paraId="3D3E8B58">
            <w:pPr>
              <w:pStyle w:val="17"/>
            </w:pPr>
            <w:r>
              <w:rPr>
                <w:rFonts w:hint="eastAsia"/>
              </w:rPr>
              <w:t>√</w:t>
            </w:r>
          </w:p>
        </w:tc>
        <w:tc>
          <w:tcPr>
            <w:tcW w:w="874" w:type="dxa"/>
          </w:tcPr>
          <w:p w14:paraId="23747B3F">
            <w:pPr>
              <w:pStyle w:val="17"/>
            </w:pPr>
            <w:r>
              <w:rPr>
                <w:rFonts w:hint="eastAsia"/>
              </w:rPr>
              <w:t>√</w:t>
            </w:r>
          </w:p>
        </w:tc>
        <w:tc>
          <w:tcPr>
            <w:tcW w:w="992" w:type="dxa"/>
            <w:tcBorders>
              <w:right w:val="single" w:color="auto" w:sz="12" w:space="0"/>
            </w:tcBorders>
            <w:vAlign w:val="center"/>
          </w:tcPr>
          <w:p w14:paraId="46A8F647">
            <w:pPr>
              <w:pStyle w:val="17"/>
            </w:pPr>
            <w:r>
              <w:rPr>
                <w:rFonts w:hint="eastAsia"/>
              </w:rPr>
              <w:t>√</w:t>
            </w:r>
          </w:p>
        </w:tc>
      </w:tr>
      <w:tr w14:paraId="67FD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33FDEAF2">
            <w:pPr>
              <w:jc w:val="center"/>
              <w:rPr>
                <w:sz w:val="21"/>
                <w:szCs w:val="21"/>
              </w:rPr>
            </w:pPr>
            <w:r>
              <w:rPr>
                <w:rFonts w:hint="eastAsia"/>
                <w:sz w:val="21"/>
                <w:szCs w:val="21"/>
              </w:rPr>
              <w:t>第九章临床护理中的病人安全</w:t>
            </w:r>
          </w:p>
        </w:tc>
        <w:tc>
          <w:tcPr>
            <w:tcW w:w="1000" w:type="dxa"/>
            <w:vAlign w:val="center"/>
          </w:tcPr>
          <w:p w14:paraId="2F2B02E8">
            <w:pPr>
              <w:pStyle w:val="17"/>
            </w:pPr>
            <w:r>
              <w:rPr>
                <w:rFonts w:hint="eastAsia"/>
              </w:rPr>
              <w:t>√</w:t>
            </w:r>
          </w:p>
        </w:tc>
        <w:tc>
          <w:tcPr>
            <w:tcW w:w="992" w:type="dxa"/>
            <w:vAlign w:val="center"/>
          </w:tcPr>
          <w:p w14:paraId="201B5294">
            <w:pPr>
              <w:pStyle w:val="17"/>
            </w:pPr>
            <w:r>
              <w:rPr>
                <w:rFonts w:hint="eastAsia"/>
              </w:rPr>
              <w:t>√</w:t>
            </w:r>
          </w:p>
        </w:tc>
        <w:tc>
          <w:tcPr>
            <w:tcW w:w="969" w:type="dxa"/>
            <w:vAlign w:val="center"/>
          </w:tcPr>
          <w:p w14:paraId="533BB881">
            <w:pPr>
              <w:pStyle w:val="17"/>
            </w:pPr>
            <w:r>
              <w:rPr>
                <w:rFonts w:hint="eastAsia"/>
              </w:rPr>
              <w:t>√</w:t>
            </w:r>
          </w:p>
        </w:tc>
        <w:tc>
          <w:tcPr>
            <w:tcW w:w="874" w:type="dxa"/>
          </w:tcPr>
          <w:p w14:paraId="3522044E">
            <w:pPr>
              <w:pStyle w:val="17"/>
            </w:pPr>
            <w:r>
              <w:rPr>
                <w:rFonts w:hint="eastAsia"/>
              </w:rPr>
              <w:t>√</w:t>
            </w:r>
          </w:p>
        </w:tc>
        <w:tc>
          <w:tcPr>
            <w:tcW w:w="992" w:type="dxa"/>
            <w:tcBorders>
              <w:right w:val="single" w:color="auto" w:sz="12" w:space="0"/>
            </w:tcBorders>
            <w:vAlign w:val="center"/>
          </w:tcPr>
          <w:p w14:paraId="750BFD33">
            <w:pPr>
              <w:pStyle w:val="17"/>
            </w:pPr>
            <w:r>
              <w:rPr>
                <w:rFonts w:hint="eastAsia"/>
              </w:rPr>
              <w:t>√</w:t>
            </w:r>
          </w:p>
        </w:tc>
      </w:tr>
      <w:tr w14:paraId="2C9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12" w:space="0"/>
            </w:tcBorders>
            <w:vAlign w:val="center"/>
          </w:tcPr>
          <w:p w14:paraId="01E5F6B5">
            <w:pPr>
              <w:pStyle w:val="17"/>
            </w:pPr>
            <w:r>
              <w:rPr>
                <w:rFonts w:hint="eastAsia"/>
              </w:rPr>
              <w:t>第十章</w:t>
            </w:r>
            <w:r>
              <w:rPr>
                <w:rFonts w:hint="eastAsia" w:ascii="宋体" w:hAnsi="宋体"/>
              </w:rPr>
              <w:t>病人参与病人安全的教育</w:t>
            </w:r>
          </w:p>
        </w:tc>
        <w:tc>
          <w:tcPr>
            <w:tcW w:w="1000" w:type="dxa"/>
            <w:tcBorders>
              <w:bottom w:val="single" w:color="auto" w:sz="12" w:space="0"/>
            </w:tcBorders>
            <w:vAlign w:val="center"/>
          </w:tcPr>
          <w:p w14:paraId="6E3627B6">
            <w:pPr>
              <w:pStyle w:val="17"/>
            </w:pPr>
          </w:p>
        </w:tc>
        <w:tc>
          <w:tcPr>
            <w:tcW w:w="992" w:type="dxa"/>
            <w:tcBorders>
              <w:bottom w:val="single" w:color="auto" w:sz="12" w:space="0"/>
            </w:tcBorders>
            <w:vAlign w:val="center"/>
          </w:tcPr>
          <w:p w14:paraId="2E9E6689">
            <w:pPr>
              <w:pStyle w:val="17"/>
            </w:pPr>
          </w:p>
        </w:tc>
        <w:tc>
          <w:tcPr>
            <w:tcW w:w="969" w:type="dxa"/>
            <w:tcBorders>
              <w:bottom w:val="single" w:color="auto" w:sz="12" w:space="0"/>
            </w:tcBorders>
            <w:vAlign w:val="center"/>
          </w:tcPr>
          <w:p w14:paraId="0DD05217">
            <w:pPr>
              <w:pStyle w:val="17"/>
            </w:pPr>
            <w:r>
              <w:rPr>
                <w:rFonts w:hint="eastAsia"/>
              </w:rPr>
              <w:t>√</w:t>
            </w:r>
          </w:p>
        </w:tc>
        <w:tc>
          <w:tcPr>
            <w:tcW w:w="874" w:type="dxa"/>
            <w:tcBorders>
              <w:bottom w:val="single" w:color="auto" w:sz="12" w:space="0"/>
            </w:tcBorders>
          </w:tcPr>
          <w:p w14:paraId="0BE9F84D">
            <w:pPr>
              <w:pStyle w:val="17"/>
            </w:pPr>
            <w:r>
              <w:rPr>
                <w:rFonts w:hint="eastAsia"/>
              </w:rPr>
              <w:t>√</w:t>
            </w:r>
          </w:p>
        </w:tc>
        <w:tc>
          <w:tcPr>
            <w:tcW w:w="992" w:type="dxa"/>
            <w:tcBorders>
              <w:bottom w:val="single" w:color="auto" w:sz="12" w:space="0"/>
              <w:right w:val="single" w:color="auto" w:sz="12" w:space="0"/>
            </w:tcBorders>
            <w:vAlign w:val="center"/>
          </w:tcPr>
          <w:p w14:paraId="29E76170">
            <w:pPr>
              <w:pStyle w:val="17"/>
            </w:pPr>
            <w:r>
              <w:rPr>
                <w:rFonts w:hint="eastAsia"/>
              </w:rPr>
              <w:t>√</w:t>
            </w:r>
          </w:p>
        </w:tc>
      </w:tr>
    </w:tbl>
    <w:p w14:paraId="725BB9AC">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B94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43EEDF4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DF8F1A0">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125A5581">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2E8EE931">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252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54AB2966">
            <w:pPr>
              <w:widowControl w:val="0"/>
              <w:snapToGrid w:val="0"/>
              <w:jc w:val="center"/>
              <w:rPr>
                <w:rFonts w:ascii="黑体" w:hAnsi="黑体" w:eastAsia="黑体"/>
                <w:bCs/>
                <w:sz w:val="21"/>
                <w:szCs w:val="21"/>
              </w:rPr>
            </w:pPr>
          </w:p>
        </w:tc>
        <w:tc>
          <w:tcPr>
            <w:tcW w:w="2690" w:type="dxa"/>
            <w:vMerge w:val="continue"/>
          </w:tcPr>
          <w:p w14:paraId="456021E5">
            <w:pPr>
              <w:widowControl w:val="0"/>
              <w:snapToGrid w:val="0"/>
              <w:jc w:val="center"/>
              <w:rPr>
                <w:rFonts w:ascii="黑体" w:hAnsi="黑体" w:eastAsia="黑体"/>
                <w:bCs/>
                <w:sz w:val="21"/>
                <w:szCs w:val="21"/>
              </w:rPr>
            </w:pPr>
          </w:p>
        </w:tc>
        <w:tc>
          <w:tcPr>
            <w:tcW w:w="1697" w:type="dxa"/>
            <w:vMerge w:val="continue"/>
          </w:tcPr>
          <w:p w14:paraId="140120FD">
            <w:pPr>
              <w:widowControl w:val="0"/>
              <w:snapToGrid w:val="0"/>
              <w:jc w:val="center"/>
              <w:rPr>
                <w:rFonts w:ascii="黑体" w:hAnsi="黑体" w:eastAsia="黑体"/>
                <w:bCs/>
                <w:sz w:val="21"/>
                <w:szCs w:val="21"/>
              </w:rPr>
            </w:pPr>
          </w:p>
        </w:tc>
        <w:tc>
          <w:tcPr>
            <w:tcW w:w="708" w:type="dxa"/>
            <w:vAlign w:val="center"/>
          </w:tcPr>
          <w:p w14:paraId="0A5B58B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6D68016E">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A0BD0B2">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977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3BD12F2">
            <w:pPr>
              <w:widowControl w:val="0"/>
              <w:snapToGrid w:val="0"/>
              <w:jc w:val="center"/>
              <w:rPr>
                <w:sz w:val="21"/>
                <w:szCs w:val="21"/>
              </w:rPr>
            </w:pPr>
            <w:r>
              <w:rPr>
                <w:rFonts w:hint="eastAsia"/>
                <w:sz w:val="21"/>
                <w:szCs w:val="21"/>
              </w:rPr>
              <w:t>第一章</w:t>
            </w:r>
          </w:p>
        </w:tc>
        <w:tc>
          <w:tcPr>
            <w:tcW w:w="2690" w:type="dxa"/>
            <w:vAlign w:val="center"/>
          </w:tcPr>
          <w:p w14:paraId="678CB649">
            <w:pPr>
              <w:widowControl w:val="0"/>
              <w:snapToGrid w:val="0"/>
              <w:jc w:val="center"/>
              <w:rPr>
                <w:sz w:val="21"/>
                <w:szCs w:val="21"/>
              </w:rPr>
            </w:pPr>
            <w:r>
              <w:rPr>
                <w:rFonts w:hint="eastAsia"/>
                <w:sz w:val="21"/>
                <w:szCs w:val="21"/>
              </w:rPr>
              <w:t>讲述法、讨论法；问题导向学习</w:t>
            </w:r>
          </w:p>
        </w:tc>
        <w:tc>
          <w:tcPr>
            <w:tcW w:w="1697" w:type="dxa"/>
            <w:vAlign w:val="center"/>
          </w:tcPr>
          <w:p w14:paraId="1C3A0FB3">
            <w:pPr>
              <w:widowControl w:val="0"/>
              <w:snapToGrid w:val="0"/>
              <w:jc w:val="center"/>
              <w:rPr>
                <w:sz w:val="21"/>
                <w:szCs w:val="21"/>
              </w:rPr>
            </w:pPr>
            <w:r>
              <w:rPr>
                <w:rFonts w:hint="eastAsia"/>
                <w:color w:val="000000"/>
                <w:sz w:val="21"/>
                <w:szCs w:val="21"/>
              </w:rPr>
              <w:t>纸笔测试</w:t>
            </w:r>
          </w:p>
        </w:tc>
        <w:tc>
          <w:tcPr>
            <w:tcW w:w="708" w:type="dxa"/>
            <w:vAlign w:val="center"/>
          </w:tcPr>
          <w:p w14:paraId="7A78FF32">
            <w:pPr>
              <w:widowControl w:val="0"/>
              <w:snapToGrid w:val="0"/>
              <w:jc w:val="center"/>
              <w:rPr>
                <w:sz w:val="20"/>
                <w:szCs w:val="20"/>
              </w:rPr>
            </w:pPr>
            <w:r>
              <w:rPr>
                <w:rFonts w:hint="eastAsia"/>
                <w:sz w:val="20"/>
                <w:szCs w:val="20"/>
              </w:rPr>
              <w:t>1</w:t>
            </w:r>
          </w:p>
        </w:tc>
        <w:tc>
          <w:tcPr>
            <w:tcW w:w="653" w:type="dxa"/>
            <w:vAlign w:val="center"/>
          </w:tcPr>
          <w:p w14:paraId="0EE311B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82B200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0E3C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667ABD7">
            <w:pPr>
              <w:widowControl w:val="0"/>
              <w:snapToGrid w:val="0"/>
              <w:jc w:val="center"/>
              <w:rPr>
                <w:sz w:val="21"/>
                <w:szCs w:val="21"/>
              </w:rPr>
            </w:pPr>
            <w:r>
              <w:rPr>
                <w:rFonts w:hint="eastAsia"/>
                <w:sz w:val="21"/>
                <w:szCs w:val="21"/>
              </w:rPr>
              <w:t>第二章</w:t>
            </w:r>
          </w:p>
        </w:tc>
        <w:tc>
          <w:tcPr>
            <w:tcW w:w="2690" w:type="dxa"/>
            <w:vAlign w:val="center"/>
          </w:tcPr>
          <w:p w14:paraId="72382AB9">
            <w:pPr>
              <w:widowControl w:val="0"/>
              <w:snapToGrid w:val="0"/>
              <w:jc w:val="center"/>
              <w:rPr>
                <w:sz w:val="21"/>
                <w:szCs w:val="21"/>
              </w:rPr>
            </w:pPr>
            <w:r>
              <w:rPr>
                <w:rFonts w:hint="eastAsia"/>
                <w:sz w:val="21"/>
                <w:szCs w:val="21"/>
              </w:rPr>
              <w:t>讲述法、讨论法；问题导向学习、合作学习</w:t>
            </w:r>
          </w:p>
        </w:tc>
        <w:tc>
          <w:tcPr>
            <w:tcW w:w="1697" w:type="dxa"/>
            <w:vAlign w:val="center"/>
          </w:tcPr>
          <w:p w14:paraId="6FCBF051">
            <w:pPr>
              <w:widowControl w:val="0"/>
              <w:snapToGrid w:val="0"/>
              <w:jc w:val="center"/>
              <w:rPr>
                <w:sz w:val="21"/>
                <w:szCs w:val="21"/>
              </w:rPr>
            </w:pPr>
            <w:r>
              <w:rPr>
                <w:rFonts w:hint="eastAsia"/>
                <w:color w:val="000000"/>
                <w:sz w:val="21"/>
                <w:szCs w:val="21"/>
              </w:rPr>
              <w:t>纸笔测试</w:t>
            </w:r>
          </w:p>
        </w:tc>
        <w:tc>
          <w:tcPr>
            <w:tcW w:w="708" w:type="dxa"/>
            <w:vAlign w:val="center"/>
          </w:tcPr>
          <w:p w14:paraId="7DCF5007">
            <w:pPr>
              <w:widowControl w:val="0"/>
              <w:snapToGrid w:val="0"/>
              <w:jc w:val="center"/>
              <w:rPr>
                <w:sz w:val="20"/>
                <w:szCs w:val="20"/>
              </w:rPr>
            </w:pPr>
            <w:r>
              <w:rPr>
                <w:sz w:val="20"/>
                <w:szCs w:val="20"/>
              </w:rPr>
              <w:t>1</w:t>
            </w:r>
          </w:p>
        </w:tc>
        <w:tc>
          <w:tcPr>
            <w:tcW w:w="653" w:type="dxa"/>
            <w:vAlign w:val="center"/>
          </w:tcPr>
          <w:p w14:paraId="153E1F7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B49187B">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6441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147B485">
            <w:pPr>
              <w:widowControl w:val="0"/>
              <w:snapToGrid w:val="0"/>
              <w:jc w:val="center"/>
              <w:rPr>
                <w:sz w:val="21"/>
                <w:szCs w:val="21"/>
              </w:rPr>
            </w:pPr>
            <w:r>
              <w:rPr>
                <w:rFonts w:hint="eastAsia"/>
                <w:sz w:val="21"/>
                <w:szCs w:val="21"/>
              </w:rPr>
              <w:t>第三章</w:t>
            </w:r>
          </w:p>
        </w:tc>
        <w:tc>
          <w:tcPr>
            <w:tcW w:w="2690" w:type="dxa"/>
            <w:vAlign w:val="center"/>
          </w:tcPr>
          <w:p w14:paraId="46E5391E">
            <w:pPr>
              <w:widowControl w:val="0"/>
              <w:snapToGrid w:val="0"/>
              <w:jc w:val="center"/>
              <w:rPr>
                <w:sz w:val="21"/>
                <w:szCs w:val="21"/>
              </w:rPr>
            </w:pPr>
            <w:r>
              <w:rPr>
                <w:rFonts w:hint="eastAsia"/>
                <w:sz w:val="21"/>
                <w:szCs w:val="21"/>
              </w:rPr>
              <w:t>讲述法、讨论法；问题导向学习</w:t>
            </w:r>
          </w:p>
        </w:tc>
        <w:tc>
          <w:tcPr>
            <w:tcW w:w="1697" w:type="dxa"/>
            <w:vAlign w:val="center"/>
          </w:tcPr>
          <w:p w14:paraId="62CD15D4">
            <w:pPr>
              <w:widowControl w:val="0"/>
              <w:snapToGrid w:val="0"/>
              <w:jc w:val="center"/>
              <w:rPr>
                <w:sz w:val="21"/>
                <w:szCs w:val="21"/>
              </w:rPr>
            </w:pPr>
            <w:r>
              <w:rPr>
                <w:rFonts w:hint="eastAsia"/>
                <w:color w:val="000000"/>
                <w:sz w:val="21"/>
                <w:szCs w:val="21"/>
              </w:rPr>
              <w:t>纸笔测试</w:t>
            </w:r>
          </w:p>
        </w:tc>
        <w:tc>
          <w:tcPr>
            <w:tcW w:w="708" w:type="dxa"/>
            <w:vAlign w:val="center"/>
          </w:tcPr>
          <w:p w14:paraId="70CB4F5D">
            <w:pPr>
              <w:widowControl w:val="0"/>
              <w:snapToGrid w:val="0"/>
              <w:jc w:val="center"/>
              <w:rPr>
                <w:sz w:val="20"/>
                <w:szCs w:val="20"/>
              </w:rPr>
            </w:pPr>
            <w:r>
              <w:rPr>
                <w:sz w:val="20"/>
                <w:szCs w:val="20"/>
              </w:rPr>
              <w:t>1</w:t>
            </w:r>
          </w:p>
        </w:tc>
        <w:tc>
          <w:tcPr>
            <w:tcW w:w="653" w:type="dxa"/>
            <w:vAlign w:val="center"/>
          </w:tcPr>
          <w:p w14:paraId="42B08B7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9E2FE45">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4F87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8291CC4">
            <w:pPr>
              <w:widowControl w:val="0"/>
              <w:snapToGrid w:val="0"/>
              <w:jc w:val="center"/>
              <w:rPr>
                <w:sz w:val="21"/>
                <w:szCs w:val="21"/>
              </w:rPr>
            </w:pPr>
            <w:r>
              <w:rPr>
                <w:rFonts w:hint="eastAsia"/>
                <w:sz w:val="21"/>
                <w:szCs w:val="21"/>
              </w:rPr>
              <w:t>第四章</w:t>
            </w:r>
          </w:p>
        </w:tc>
        <w:tc>
          <w:tcPr>
            <w:tcW w:w="2690" w:type="dxa"/>
            <w:vAlign w:val="center"/>
          </w:tcPr>
          <w:p w14:paraId="1C415097">
            <w:pPr>
              <w:widowControl w:val="0"/>
              <w:snapToGrid w:val="0"/>
              <w:jc w:val="center"/>
              <w:rPr>
                <w:sz w:val="21"/>
                <w:szCs w:val="21"/>
              </w:rPr>
            </w:pPr>
            <w:r>
              <w:rPr>
                <w:rFonts w:hint="eastAsia"/>
                <w:sz w:val="21"/>
                <w:szCs w:val="21"/>
              </w:rPr>
              <w:t>讲述法、讨论法；问题导向学习</w:t>
            </w:r>
          </w:p>
        </w:tc>
        <w:tc>
          <w:tcPr>
            <w:tcW w:w="1697" w:type="dxa"/>
            <w:vAlign w:val="center"/>
          </w:tcPr>
          <w:p w14:paraId="10BD6BFA">
            <w:pPr>
              <w:widowControl w:val="0"/>
              <w:snapToGrid w:val="0"/>
              <w:jc w:val="center"/>
              <w:rPr>
                <w:sz w:val="21"/>
                <w:szCs w:val="21"/>
              </w:rPr>
            </w:pPr>
            <w:r>
              <w:rPr>
                <w:rFonts w:hint="eastAsia"/>
                <w:color w:val="000000"/>
                <w:sz w:val="21"/>
                <w:szCs w:val="21"/>
              </w:rPr>
              <w:t>纸笔测试</w:t>
            </w:r>
          </w:p>
        </w:tc>
        <w:tc>
          <w:tcPr>
            <w:tcW w:w="708" w:type="dxa"/>
            <w:vAlign w:val="center"/>
          </w:tcPr>
          <w:p w14:paraId="4DE4155C">
            <w:pPr>
              <w:widowControl w:val="0"/>
              <w:snapToGrid w:val="0"/>
              <w:jc w:val="center"/>
              <w:rPr>
                <w:sz w:val="20"/>
                <w:szCs w:val="20"/>
              </w:rPr>
            </w:pPr>
            <w:r>
              <w:rPr>
                <w:sz w:val="20"/>
                <w:szCs w:val="20"/>
              </w:rPr>
              <w:t>1</w:t>
            </w:r>
          </w:p>
        </w:tc>
        <w:tc>
          <w:tcPr>
            <w:tcW w:w="653" w:type="dxa"/>
            <w:vAlign w:val="center"/>
          </w:tcPr>
          <w:p w14:paraId="4214457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EB98DF2">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13BC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1E4EC28">
            <w:pPr>
              <w:widowControl w:val="0"/>
              <w:snapToGrid w:val="0"/>
              <w:jc w:val="center"/>
              <w:rPr>
                <w:sz w:val="21"/>
                <w:szCs w:val="21"/>
              </w:rPr>
            </w:pPr>
            <w:r>
              <w:rPr>
                <w:rFonts w:hint="eastAsia"/>
                <w:sz w:val="21"/>
                <w:szCs w:val="21"/>
              </w:rPr>
              <w:t>第五章</w:t>
            </w:r>
          </w:p>
        </w:tc>
        <w:tc>
          <w:tcPr>
            <w:tcW w:w="2690" w:type="dxa"/>
            <w:vAlign w:val="center"/>
          </w:tcPr>
          <w:p w14:paraId="1644744E">
            <w:pPr>
              <w:widowControl w:val="0"/>
              <w:snapToGrid w:val="0"/>
              <w:jc w:val="center"/>
              <w:rPr>
                <w:sz w:val="21"/>
                <w:szCs w:val="21"/>
              </w:rPr>
            </w:pPr>
            <w:r>
              <w:rPr>
                <w:rFonts w:hint="eastAsia"/>
                <w:sz w:val="21"/>
                <w:szCs w:val="21"/>
              </w:rPr>
              <w:t>讨论教学法、多媒体教学法；问题导向学习、实作学习</w:t>
            </w:r>
          </w:p>
        </w:tc>
        <w:tc>
          <w:tcPr>
            <w:tcW w:w="1697" w:type="dxa"/>
            <w:vAlign w:val="center"/>
          </w:tcPr>
          <w:p w14:paraId="5B2E8989">
            <w:pPr>
              <w:widowControl w:val="0"/>
              <w:snapToGrid w:val="0"/>
              <w:jc w:val="center"/>
              <w:rPr>
                <w:sz w:val="21"/>
                <w:szCs w:val="21"/>
              </w:rPr>
            </w:pPr>
            <w:r>
              <w:rPr>
                <w:rFonts w:hint="eastAsia"/>
                <w:sz w:val="21"/>
                <w:szCs w:val="21"/>
              </w:rPr>
              <w:t>纸笔测试</w:t>
            </w:r>
          </w:p>
          <w:p w14:paraId="235F2543">
            <w:pPr>
              <w:widowControl w:val="0"/>
              <w:snapToGrid w:val="0"/>
              <w:jc w:val="center"/>
              <w:rPr>
                <w:sz w:val="21"/>
                <w:szCs w:val="21"/>
              </w:rPr>
            </w:pPr>
            <w:r>
              <w:rPr>
                <w:rFonts w:hint="eastAsia"/>
                <w:sz w:val="21"/>
                <w:szCs w:val="21"/>
              </w:rPr>
              <w:t>实验报告</w:t>
            </w:r>
          </w:p>
        </w:tc>
        <w:tc>
          <w:tcPr>
            <w:tcW w:w="708" w:type="dxa"/>
            <w:vAlign w:val="center"/>
          </w:tcPr>
          <w:p w14:paraId="142542AD">
            <w:pPr>
              <w:widowControl w:val="0"/>
              <w:snapToGrid w:val="0"/>
              <w:jc w:val="center"/>
              <w:rPr>
                <w:sz w:val="20"/>
                <w:szCs w:val="20"/>
              </w:rPr>
            </w:pPr>
            <w:r>
              <w:rPr>
                <w:sz w:val="20"/>
                <w:szCs w:val="20"/>
              </w:rPr>
              <w:t>4</w:t>
            </w:r>
          </w:p>
        </w:tc>
        <w:tc>
          <w:tcPr>
            <w:tcW w:w="653" w:type="dxa"/>
            <w:vAlign w:val="center"/>
          </w:tcPr>
          <w:p w14:paraId="747B975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446938FF">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7DCE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FAA4EDA">
            <w:pPr>
              <w:widowControl w:val="0"/>
              <w:snapToGrid w:val="0"/>
              <w:jc w:val="center"/>
              <w:rPr>
                <w:sz w:val="21"/>
                <w:szCs w:val="21"/>
              </w:rPr>
            </w:pPr>
            <w:r>
              <w:rPr>
                <w:rFonts w:hint="eastAsia"/>
                <w:sz w:val="21"/>
                <w:szCs w:val="21"/>
              </w:rPr>
              <w:t>第六章</w:t>
            </w:r>
          </w:p>
        </w:tc>
        <w:tc>
          <w:tcPr>
            <w:tcW w:w="2690" w:type="dxa"/>
            <w:vAlign w:val="center"/>
          </w:tcPr>
          <w:p w14:paraId="039FDE7C">
            <w:pPr>
              <w:widowControl w:val="0"/>
              <w:snapToGrid w:val="0"/>
              <w:jc w:val="center"/>
              <w:rPr>
                <w:sz w:val="21"/>
                <w:szCs w:val="21"/>
              </w:rPr>
            </w:pPr>
            <w:r>
              <w:rPr>
                <w:rFonts w:hint="eastAsia"/>
                <w:sz w:val="21"/>
                <w:szCs w:val="21"/>
              </w:rPr>
              <w:t>讨论教学法、练习教学法；问题导向学习、实作学习</w:t>
            </w:r>
          </w:p>
        </w:tc>
        <w:tc>
          <w:tcPr>
            <w:tcW w:w="1697" w:type="dxa"/>
            <w:vAlign w:val="center"/>
          </w:tcPr>
          <w:p w14:paraId="2726F3FF">
            <w:pPr>
              <w:widowControl w:val="0"/>
              <w:snapToGrid w:val="0"/>
              <w:jc w:val="center"/>
              <w:rPr>
                <w:color w:val="000000"/>
                <w:sz w:val="21"/>
                <w:szCs w:val="21"/>
              </w:rPr>
            </w:pPr>
            <w:r>
              <w:rPr>
                <w:rFonts w:hint="eastAsia"/>
                <w:color w:val="000000"/>
                <w:sz w:val="21"/>
                <w:szCs w:val="21"/>
              </w:rPr>
              <w:t>纸笔测试</w:t>
            </w:r>
          </w:p>
          <w:p w14:paraId="1C6B32EA">
            <w:pPr>
              <w:widowControl w:val="0"/>
              <w:snapToGrid w:val="0"/>
              <w:jc w:val="center"/>
              <w:rPr>
                <w:sz w:val="21"/>
                <w:szCs w:val="21"/>
              </w:rPr>
            </w:pPr>
            <w:r>
              <w:rPr>
                <w:rFonts w:hint="eastAsia"/>
                <w:color w:val="000000"/>
                <w:sz w:val="21"/>
                <w:szCs w:val="21"/>
              </w:rPr>
              <w:t>实验报告</w:t>
            </w:r>
          </w:p>
        </w:tc>
        <w:tc>
          <w:tcPr>
            <w:tcW w:w="708" w:type="dxa"/>
            <w:vAlign w:val="center"/>
          </w:tcPr>
          <w:p w14:paraId="578CF41A">
            <w:pPr>
              <w:widowControl w:val="0"/>
              <w:snapToGrid w:val="0"/>
              <w:jc w:val="center"/>
              <w:rPr>
                <w:sz w:val="20"/>
                <w:szCs w:val="20"/>
              </w:rPr>
            </w:pPr>
            <w:r>
              <w:rPr>
                <w:sz w:val="20"/>
                <w:szCs w:val="20"/>
              </w:rPr>
              <w:t>6</w:t>
            </w:r>
          </w:p>
        </w:tc>
        <w:tc>
          <w:tcPr>
            <w:tcW w:w="653" w:type="dxa"/>
            <w:vAlign w:val="center"/>
          </w:tcPr>
          <w:p w14:paraId="557D7305">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48B25E08">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7037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CF5FE9B">
            <w:pPr>
              <w:widowControl w:val="0"/>
              <w:snapToGrid w:val="0"/>
              <w:jc w:val="center"/>
              <w:rPr>
                <w:sz w:val="21"/>
                <w:szCs w:val="21"/>
              </w:rPr>
            </w:pPr>
            <w:r>
              <w:rPr>
                <w:rFonts w:hint="eastAsia"/>
                <w:sz w:val="21"/>
                <w:szCs w:val="21"/>
              </w:rPr>
              <w:t>第七章</w:t>
            </w:r>
          </w:p>
        </w:tc>
        <w:tc>
          <w:tcPr>
            <w:tcW w:w="2690" w:type="dxa"/>
            <w:vAlign w:val="center"/>
          </w:tcPr>
          <w:p w14:paraId="343567EF">
            <w:pPr>
              <w:widowControl w:val="0"/>
              <w:snapToGrid w:val="0"/>
              <w:jc w:val="center"/>
              <w:rPr>
                <w:sz w:val="21"/>
                <w:szCs w:val="21"/>
              </w:rPr>
            </w:pPr>
            <w:r>
              <w:rPr>
                <w:rFonts w:hint="eastAsia"/>
                <w:sz w:val="21"/>
                <w:szCs w:val="21"/>
              </w:rPr>
              <w:t>讲述法、示范教学法、练习教学法；问题导向学习、合作学习</w:t>
            </w:r>
          </w:p>
        </w:tc>
        <w:tc>
          <w:tcPr>
            <w:tcW w:w="1697" w:type="dxa"/>
            <w:vAlign w:val="center"/>
          </w:tcPr>
          <w:p w14:paraId="7FE11DC0">
            <w:pPr>
              <w:widowControl w:val="0"/>
              <w:snapToGrid w:val="0"/>
              <w:jc w:val="center"/>
              <w:rPr>
                <w:sz w:val="21"/>
                <w:szCs w:val="21"/>
              </w:rPr>
            </w:pPr>
            <w:r>
              <w:rPr>
                <w:rFonts w:hint="eastAsia"/>
                <w:sz w:val="21"/>
                <w:szCs w:val="21"/>
              </w:rPr>
              <w:t>纸笔测试</w:t>
            </w:r>
          </w:p>
          <w:p w14:paraId="7A3F5E76">
            <w:pPr>
              <w:widowControl w:val="0"/>
              <w:snapToGrid w:val="0"/>
              <w:jc w:val="center"/>
              <w:rPr>
                <w:sz w:val="21"/>
                <w:szCs w:val="21"/>
              </w:rPr>
            </w:pPr>
            <w:r>
              <w:rPr>
                <w:rFonts w:hint="eastAsia"/>
                <w:sz w:val="21"/>
                <w:szCs w:val="21"/>
              </w:rPr>
              <w:t>实验报告</w:t>
            </w:r>
          </w:p>
        </w:tc>
        <w:tc>
          <w:tcPr>
            <w:tcW w:w="708" w:type="dxa"/>
            <w:vAlign w:val="center"/>
          </w:tcPr>
          <w:p w14:paraId="6C17BDB1">
            <w:pPr>
              <w:widowControl w:val="0"/>
              <w:snapToGrid w:val="0"/>
              <w:jc w:val="center"/>
              <w:rPr>
                <w:sz w:val="20"/>
                <w:szCs w:val="20"/>
              </w:rPr>
            </w:pPr>
            <w:r>
              <w:rPr>
                <w:sz w:val="20"/>
                <w:szCs w:val="20"/>
              </w:rPr>
              <w:t>2</w:t>
            </w:r>
          </w:p>
        </w:tc>
        <w:tc>
          <w:tcPr>
            <w:tcW w:w="653" w:type="dxa"/>
            <w:vAlign w:val="center"/>
          </w:tcPr>
          <w:p w14:paraId="65D50DA2">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3978F41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EAA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F4FBF5C">
            <w:pPr>
              <w:widowControl w:val="0"/>
              <w:snapToGrid w:val="0"/>
              <w:jc w:val="center"/>
              <w:rPr>
                <w:sz w:val="21"/>
                <w:szCs w:val="21"/>
              </w:rPr>
            </w:pPr>
            <w:r>
              <w:rPr>
                <w:rFonts w:hint="eastAsia"/>
                <w:sz w:val="21"/>
                <w:szCs w:val="21"/>
              </w:rPr>
              <w:t>第八章</w:t>
            </w:r>
          </w:p>
        </w:tc>
        <w:tc>
          <w:tcPr>
            <w:tcW w:w="2690" w:type="dxa"/>
            <w:vAlign w:val="center"/>
          </w:tcPr>
          <w:p w14:paraId="216D0B82">
            <w:pPr>
              <w:widowControl w:val="0"/>
              <w:snapToGrid w:val="0"/>
              <w:jc w:val="center"/>
              <w:rPr>
                <w:sz w:val="21"/>
                <w:szCs w:val="21"/>
              </w:rPr>
            </w:pPr>
            <w:r>
              <w:rPr>
                <w:rFonts w:hint="eastAsia"/>
                <w:sz w:val="21"/>
                <w:szCs w:val="21"/>
              </w:rPr>
              <w:t>讲述法、讨论法；问题导向学习、合作学习</w:t>
            </w:r>
          </w:p>
        </w:tc>
        <w:tc>
          <w:tcPr>
            <w:tcW w:w="1697" w:type="dxa"/>
            <w:vAlign w:val="center"/>
          </w:tcPr>
          <w:p w14:paraId="6F5F40F5">
            <w:pPr>
              <w:widowControl w:val="0"/>
              <w:snapToGrid w:val="0"/>
              <w:jc w:val="center"/>
              <w:rPr>
                <w:sz w:val="21"/>
                <w:szCs w:val="21"/>
              </w:rPr>
            </w:pPr>
            <w:r>
              <w:rPr>
                <w:rFonts w:hint="eastAsia"/>
                <w:color w:val="000000"/>
                <w:sz w:val="21"/>
                <w:szCs w:val="21"/>
              </w:rPr>
              <w:t>纸笔测试</w:t>
            </w:r>
          </w:p>
        </w:tc>
        <w:tc>
          <w:tcPr>
            <w:tcW w:w="708" w:type="dxa"/>
            <w:vAlign w:val="center"/>
          </w:tcPr>
          <w:p w14:paraId="344BE2D4">
            <w:pPr>
              <w:widowControl w:val="0"/>
              <w:snapToGrid w:val="0"/>
              <w:jc w:val="center"/>
              <w:rPr>
                <w:sz w:val="20"/>
                <w:szCs w:val="20"/>
              </w:rPr>
            </w:pPr>
            <w:r>
              <w:rPr>
                <w:sz w:val="20"/>
                <w:szCs w:val="20"/>
              </w:rPr>
              <w:t>2</w:t>
            </w:r>
          </w:p>
        </w:tc>
        <w:tc>
          <w:tcPr>
            <w:tcW w:w="653" w:type="dxa"/>
            <w:vAlign w:val="center"/>
          </w:tcPr>
          <w:p w14:paraId="5E49A1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9B92419">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6EFE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456EFCD">
            <w:pPr>
              <w:widowControl w:val="0"/>
              <w:snapToGrid w:val="0"/>
              <w:jc w:val="center"/>
              <w:rPr>
                <w:sz w:val="21"/>
                <w:szCs w:val="21"/>
              </w:rPr>
            </w:pPr>
            <w:r>
              <w:rPr>
                <w:rFonts w:hint="eastAsia"/>
                <w:sz w:val="21"/>
                <w:szCs w:val="21"/>
              </w:rPr>
              <w:t>第九章</w:t>
            </w:r>
          </w:p>
        </w:tc>
        <w:tc>
          <w:tcPr>
            <w:tcW w:w="2690" w:type="dxa"/>
            <w:vAlign w:val="center"/>
          </w:tcPr>
          <w:p w14:paraId="263A7DE4">
            <w:pPr>
              <w:widowControl w:val="0"/>
              <w:snapToGrid w:val="0"/>
              <w:jc w:val="center"/>
              <w:rPr>
                <w:sz w:val="21"/>
                <w:szCs w:val="21"/>
              </w:rPr>
            </w:pPr>
            <w:r>
              <w:rPr>
                <w:rFonts w:hint="eastAsia"/>
                <w:sz w:val="21"/>
                <w:szCs w:val="21"/>
              </w:rPr>
              <w:t>情景法、练习教学法、讨论教学法；问题导向学习、合作学习</w:t>
            </w:r>
          </w:p>
        </w:tc>
        <w:tc>
          <w:tcPr>
            <w:tcW w:w="1697" w:type="dxa"/>
            <w:vAlign w:val="center"/>
          </w:tcPr>
          <w:p w14:paraId="2CFC5551">
            <w:pPr>
              <w:widowControl w:val="0"/>
              <w:snapToGrid w:val="0"/>
              <w:jc w:val="center"/>
              <w:rPr>
                <w:sz w:val="21"/>
                <w:szCs w:val="21"/>
              </w:rPr>
            </w:pPr>
            <w:r>
              <w:rPr>
                <w:rFonts w:hint="eastAsia"/>
                <w:sz w:val="21"/>
                <w:szCs w:val="21"/>
              </w:rPr>
              <w:t>纸笔测试</w:t>
            </w:r>
          </w:p>
          <w:p w14:paraId="6761D4D2">
            <w:pPr>
              <w:widowControl w:val="0"/>
              <w:snapToGrid w:val="0"/>
              <w:jc w:val="center"/>
              <w:rPr>
                <w:sz w:val="21"/>
                <w:szCs w:val="21"/>
              </w:rPr>
            </w:pPr>
            <w:r>
              <w:rPr>
                <w:rFonts w:hint="eastAsia"/>
                <w:sz w:val="21"/>
                <w:szCs w:val="21"/>
              </w:rPr>
              <w:t>实验报告</w:t>
            </w:r>
          </w:p>
        </w:tc>
        <w:tc>
          <w:tcPr>
            <w:tcW w:w="708" w:type="dxa"/>
            <w:vAlign w:val="center"/>
          </w:tcPr>
          <w:p w14:paraId="2F2E78AC">
            <w:pPr>
              <w:widowControl w:val="0"/>
              <w:snapToGrid w:val="0"/>
              <w:jc w:val="center"/>
              <w:rPr>
                <w:sz w:val="20"/>
                <w:szCs w:val="20"/>
              </w:rPr>
            </w:pPr>
            <w:r>
              <w:rPr>
                <w:sz w:val="20"/>
                <w:szCs w:val="20"/>
              </w:rPr>
              <w:t>4</w:t>
            </w:r>
          </w:p>
        </w:tc>
        <w:tc>
          <w:tcPr>
            <w:tcW w:w="653" w:type="dxa"/>
            <w:vAlign w:val="center"/>
          </w:tcPr>
          <w:p w14:paraId="24D8260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13383962">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0475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613BBC0">
            <w:pPr>
              <w:widowControl w:val="0"/>
              <w:snapToGrid w:val="0"/>
              <w:jc w:val="center"/>
              <w:rPr>
                <w:rFonts w:ascii="Times New Roman" w:hAnsi="Times New Roman"/>
                <w:bCs/>
                <w:sz w:val="21"/>
                <w:szCs w:val="21"/>
              </w:rPr>
            </w:pPr>
            <w:r>
              <w:rPr>
                <w:rFonts w:hint="eastAsia"/>
                <w:sz w:val="21"/>
                <w:szCs w:val="21"/>
              </w:rPr>
              <w:t>第十章</w:t>
            </w:r>
          </w:p>
        </w:tc>
        <w:tc>
          <w:tcPr>
            <w:tcW w:w="2690" w:type="dxa"/>
            <w:vAlign w:val="center"/>
          </w:tcPr>
          <w:p w14:paraId="5E16696C">
            <w:pPr>
              <w:widowControl w:val="0"/>
              <w:snapToGrid w:val="0"/>
              <w:jc w:val="center"/>
              <w:rPr>
                <w:sz w:val="21"/>
                <w:szCs w:val="21"/>
              </w:rPr>
            </w:pPr>
            <w:r>
              <w:rPr>
                <w:rFonts w:hint="eastAsia"/>
                <w:sz w:val="21"/>
                <w:szCs w:val="21"/>
              </w:rPr>
              <w:t>讲述法、讨论法；问题导向学习、合作学习</w:t>
            </w:r>
          </w:p>
        </w:tc>
        <w:tc>
          <w:tcPr>
            <w:tcW w:w="1697" w:type="dxa"/>
            <w:vAlign w:val="center"/>
          </w:tcPr>
          <w:p w14:paraId="1CD748AD">
            <w:pPr>
              <w:widowControl w:val="0"/>
              <w:snapToGrid w:val="0"/>
              <w:jc w:val="center"/>
              <w:rPr>
                <w:sz w:val="21"/>
                <w:szCs w:val="21"/>
              </w:rPr>
            </w:pPr>
            <w:r>
              <w:rPr>
                <w:rFonts w:hint="eastAsia"/>
                <w:color w:val="000000"/>
                <w:sz w:val="21"/>
                <w:szCs w:val="21"/>
              </w:rPr>
              <w:t>纸笔测试</w:t>
            </w:r>
          </w:p>
        </w:tc>
        <w:tc>
          <w:tcPr>
            <w:tcW w:w="708" w:type="dxa"/>
            <w:vAlign w:val="center"/>
          </w:tcPr>
          <w:p w14:paraId="0A0BD2AB">
            <w:pPr>
              <w:widowControl w:val="0"/>
              <w:snapToGrid w:val="0"/>
              <w:jc w:val="center"/>
              <w:rPr>
                <w:sz w:val="20"/>
                <w:szCs w:val="20"/>
              </w:rPr>
            </w:pPr>
            <w:r>
              <w:rPr>
                <w:sz w:val="20"/>
                <w:szCs w:val="20"/>
              </w:rPr>
              <w:t>2</w:t>
            </w:r>
          </w:p>
        </w:tc>
        <w:tc>
          <w:tcPr>
            <w:tcW w:w="653" w:type="dxa"/>
            <w:vAlign w:val="center"/>
          </w:tcPr>
          <w:p w14:paraId="029D97F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2DC31F3">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7DEB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0206F76">
            <w:pPr>
              <w:pStyle w:val="16"/>
              <w:widowControl w:val="0"/>
            </w:pPr>
            <w:r>
              <w:rPr>
                <w:rFonts w:hint="eastAsia"/>
              </w:rPr>
              <w:t>合计</w:t>
            </w:r>
          </w:p>
        </w:tc>
        <w:tc>
          <w:tcPr>
            <w:tcW w:w="708" w:type="dxa"/>
            <w:tcBorders>
              <w:bottom w:val="single" w:color="auto" w:sz="12" w:space="0"/>
            </w:tcBorders>
            <w:vAlign w:val="center"/>
          </w:tcPr>
          <w:p w14:paraId="1760C71B">
            <w:pPr>
              <w:widowControl w:val="0"/>
              <w:snapToGrid w:val="0"/>
              <w:jc w:val="center"/>
              <w:rPr>
                <w:rFonts w:ascii="Times New Roman" w:hAnsi="Times New Roman"/>
                <w:bCs/>
                <w:sz w:val="21"/>
                <w:szCs w:val="21"/>
              </w:rPr>
            </w:pPr>
            <w:r>
              <w:rPr>
                <w:rFonts w:ascii="Times New Roman" w:hAnsi="Times New Roman"/>
                <w:bCs/>
                <w:sz w:val="21"/>
                <w:szCs w:val="21"/>
              </w:rPr>
              <w:t>24</w:t>
            </w:r>
          </w:p>
        </w:tc>
        <w:tc>
          <w:tcPr>
            <w:tcW w:w="653" w:type="dxa"/>
            <w:tcBorders>
              <w:bottom w:val="single" w:color="auto" w:sz="12" w:space="0"/>
            </w:tcBorders>
            <w:vAlign w:val="center"/>
          </w:tcPr>
          <w:p w14:paraId="76C303FD">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14:paraId="327CEF0E">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592BE5BC">
      <w:pPr>
        <w:pStyle w:val="20"/>
        <w:spacing w:before="326"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4AF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4193C3C">
            <w:pPr>
              <w:pStyle w:val="16"/>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57288297">
            <w:pPr>
              <w:pStyle w:val="16"/>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4826CEEB">
            <w:pPr>
              <w:pStyle w:val="16"/>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13DCF513">
            <w:pPr>
              <w:pStyle w:val="16"/>
              <w:rPr>
                <w:szCs w:val="16"/>
              </w:rPr>
            </w:pPr>
            <w:r>
              <w:rPr>
                <w:rFonts w:hint="eastAsia"/>
                <w:szCs w:val="16"/>
              </w:rPr>
              <w:t>实验</w:t>
            </w:r>
          </w:p>
          <w:p w14:paraId="1EB29C5E">
            <w:pPr>
              <w:pStyle w:val="16"/>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45257A0C">
            <w:pPr>
              <w:pStyle w:val="16"/>
              <w:rPr>
                <w:szCs w:val="16"/>
              </w:rPr>
            </w:pPr>
            <w:r>
              <w:rPr>
                <w:rFonts w:hint="eastAsia"/>
                <w:szCs w:val="16"/>
              </w:rPr>
              <w:t>实验</w:t>
            </w:r>
          </w:p>
          <w:p w14:paraId="49C7E52B">
            <w:pPr>
              <w:pStyle w:val="16"/>
              <w:rPr>
                <w:szCs w:val="16"/>
              </w:rPr>
            </w:pPr>
            <w:r>
              <w:rPr>
                <w:rFonts w:hint="eastAsia"/>
                <w:szCs w:val="16"/>
              </w:rPr>
              <w:t>类型</w:t>
            </w:r>
          </w:p>
        </w:tc>
      </w:tr>
      <w:tr w14:paraId="67E1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94403B1">
            <w:pPr>
              <w:pStyle w:val="17"/>
            </w:pPr>
            <w:r>
              <w:rPr>
                <w:rFonts w:hint="eastAsia"/>
              </w:rPr>
              <w:t>1</w:t>
            </w:r>
          </w:p>
        </w:tc>
        <w:tc>
          <w:tcPr>
            <w:tcW w:w="1838" w:type="dxa"/>
            <w:vAlign w:val="center"/>
          </w:tcPr>
          <w:p w14:paraId="314E5918">
            <w:pPr>
              <w:pStyle w:val="17"/>
            </w:pPr>
            <w:r>
              <w:rPr>
                <w:rFonts w:hint="eastAsia" w:ascii="宋体" w:hAnsi="宋体"/>
              </w:rPr>
              <w:t>S</w:t>
            </w:r>
            <w:r>
              <w:rPr>
                <w:rFonts w:ascii="宋体" w:hAnsi="宋体"/>
              </w:rPr>
              <w:t>BAR</w:t>
            </w:r>
            <w:r>
              <w:rPr>
                <w:rFonts w:hint="eastAsia" w:ascii="宋体" w:hAnsi="宋体"/>
              </w:rPr>
              <w:t>沟通运用</w:t>
            </w:r>
          </w:p>
        </w:tc>
        <w:tc>
          <w:tcPr>
            <w:tcW w:w="3965" w:type="dxa"/>
            <w:vAlign w:val="center"/>
          </w:tcPr>
          <w:p w14:paraId="25BCC59D">
            <w:pPr>
              <w:pStyle w:val="17"/>
              <w:jc w:val="left"/>
            </w:pPr>
            <w:r>
              <w:rPr>
                <w:rFonts w:hint="eastAsia" w:ascii="宋体" w:hAnsi="宋体"/>
              </w:rPr>
              <w:t>学会在临床护理交班中应用S</w:t>
            </w:r>
            <w:r>
              <w:rPr>
                <w:rFonts w:ascii="宋体" w:hAnsi="宋体"/>
              </w:rPr>
              <w:t>BAR</w:t>
            </w:r>
            <w:r>
              <w:rPr>
                <w:rFonts w:hint="eastAsia" w:ascii="宋体" w:hAnsi="宋体"/>
              </w:rPr>
              <w:t>技术进行沟通</w:t>
            </w:r>
          </w:p>
        </w:tc>
        <w:tc>
          <w:tcPr>
            <w:tcW w:w="842" w:type="dxa"/>
            <w:vAlign w:val="center"/>
          </w:tcPr>
          <w:p w14:paraId="55F5CDFC">
            <w:pPr>
              <w:pStyle w:val="17"/>
            </w:pPr>
            <w:r>
              <w:rPr>
                <w:rFonts w:ascii="宋体" w:hAnsi="宋体"/>
                <w:bCs/>
                <w:sz w:val="20"/>
              </w:rPr>
              <w:t>2</w:t>
            </w:r>
          </w:p>
        </w:tc>
        <w:tc>
          <w:tcPr>
            <w:tcW w:w="928" w:type="dxa"/>
            <w:vAlign w:val="center"/>
          </w:tcPr>
          <w:p w14:paraId="51EC0DFE">
            <w:pPr>
              <w:pStyle w:val="17"/>
            </w:pPr>
            <w:r>
              <w:rPr>
                <w:rFonts w:hint="eastAsia"/>
              </w:rPr>
              <w:t>④</w:t>
            </w:r>
          </w:p>
        </w:tc>
      </w:tr>
      <w:tr w14:paraId="22DA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8C7E3D9">
            <w:pPr>
              <w:pStyle w:val="17"/>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77CECD4">
            <w:pPr>
              <w:pStyle w:val="17"/>
            </w:pPr>
            <w:r>
              <w:rPr>
                <w:rFonts w:hint="eastAsia" w:ascii="宋体" w:hAnsi="宋体"/>
              </w:rPr>
              <w:t>手卫生</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5E963131">
            <w:pPr>
              <w:pStyle w:val="4"/>
              <w:spacing w:line="288" w:lineRule="auto"/>
              <w:ind w:firstLine="0"/>
              <w:rPr>
                <w:rFonts w:ascii="宋体"/>
                <w:bCs/>
                <w:szCs w:val="21"/>
              </w:rPr>
            </w:pPr>
            <w:r>
              <w:rPr>
                <w:rFonts w:hint="eastAsia" w:ascii="宋体" w:hAnsi="宋体"/>
                <w:szCs w:val="21"/>
              </w:rPr>
              <w:t>学会洗手法、卫生手消毒法等</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42EA1D23">
            <w:pPr>
              <w:pStyle w:val="17"/>
            </w:pPr>
            <w:r>
              <w:rPr>
                <w:rFonts w:ascii="宋体" w:hAnsi="宋体"/>
                <w:sz w:val="20"/>
                <w:szCs w:val="20"/>
              </w:rPr>
              <w:t>2</w:t>
            </w:r>
          </w:p>
        </w:tc>
        <w:tc>
          <w:tcPr>
            <w:tcW w:w="928" w:type="dxa"/>
            <w:vAlign w:val="center"/>
          </w:tcPr>
          <w:p w14:paraId="2A6C969E">
            <w:pPr>
              <w:pStyle w:val="17"/>
            </w:pPr>
            <w:r>
              <w:rPr>
                <w:rFonts w:hint="eastAsia"/>
              </w:rPr>
              <w:t>④</w:t>
            </w:r>
          </w:p>
        </w:tc>
      </w:tr>
      <w:tr w14:paraId="2DA4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32ED754">
            <w:pPr>
              <w:pStyle w:val="17"/>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70795C4">
            <w:pPr>
              <w:pStyle w:val="17"/>
            </w:pPr>
            <w:r>
              <w:rPr>
                <w:rFonts w:hint="eastAsia" w:ascii="宋体" w:hAnsi="宋体"/>
              </w:rPr>
              <w:t>锐器伤的防护</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790981C0">
            <w:pPr>
              <w:snapToGrid w:val="0"/>
              <w:rPr>
                <w:sz w:val="21"/>
                <w:szCs w:val="21"/>
              </w:rPr>
            </w:pPr>
            <w:r>
              <w:rPr>
                <w:rFonts w:hint="eastAsia"/>
                <w:sz w:val="21"/>
                <w:szCs w:val="21"/>
              </w:rPr>
              <w:t>学会锐器的规范使用与处理</w:t>
            </w:r>
          </w:p>
          <w:p w14:paraId="7CC3A532">
            <w:pPr>
              <w:pStyle w:val="17"/>
              <w:jc w:val="left"/>
            </w:pPr>
            <w:r>
              <w:rPr>
                <w:rFonts w:hint="eastAsia" w:ascii="宋体" w:hAnsi="宋体"/>
              </w:rPr>
              <w:t>能够进行锐器伤应急预案演练</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78A57881">
            <w:pPr>
              <w:pStyle w:val="17"/>
            </w:pPr>
            <w:r>
              <w:rPr>
                <w:rFonts w:ascii="宋体" w:hAnsi="宋体"/>
                <w:sz w:val="20"/>
                <w:szCs w:val="20"/>
              </w:rPr>
              <w:t>2</w:t>
            </w:r>
          </w:p>
        </w:tc>
        <w:tc>
          <w:tcPr>
            <w:tcW w:w="928" w:type="dxa"/>
            <w:vAlign w:val="center"/>
          </w:tcPr>
          <w:p w14:paraId="7F0CEB1D">
            <w:pPr>
              <w:pStyle w:val="17"/>
            </w:pPr>
            <w:r>
              <w:rPr>
                <w:rFonts w:hint="eastAsia"/>
              </w:rPr>
              <w:t>④</w:t>
            </w:r>
          </w:p>
        </w:tc>
      </w:tr>
      <w:tr w14:paraId="288B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38B5B03">
            <w:pPr>
              <w:pStyle w:val="17"/>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42F496C">
            <w:pPr>
              <w:pStyle w:val="17"/>
            </w:pPr>
            <w:r>
              <w:rPr>
                <w:rFonts w:hint="eastAsia" w:ascii="宋体" w:hAnsi="宋体"/>
              </w:rPr>
              <w:t>患者转运与交接</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15208B14">
            <w:pPr>
              <w:pStyle w:val="17"/>
              <w:jc w:val="left"/>
            </w:pPr>
            <w:r>
              <w:rPr>
                <w:rFonts w:hint="eastAsia" w:ascii="宋体" w:hAnsi="宋体"/>
              </w:rPr>
              <w:t>学会急诊患者安全转送至病房</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1C8445C0">
            <w:pPr>
              <w:pStyle w:val="17"/>
            </w:pPr>
            <w:r>
              <w:rPr>
                <w:rFonts w:hint="eastAsia" w:ascii="宋体" w:hAnsi="宋体"/>
                <w:sz w:val="20"/>
                <w:szCs w:val="20"/>
              </w:rPr>
              <w:t>2</w:t>
            </w:r>
          </w:p>
        </w:tc>
        <w:tc>
          <w:tcPr>
            <w:tcW w:w="928" w:type="dxa"/>
            <w:vAlign w:val="center"/>
          </w:tcPr>
          <w:p w14:paraId="1974952B">
            <w:pPr>
              <w:pStyle w:val="17"/>
            </w:pPr>
            <w:r>
              <w:rPr>
                <w:rFonts w:hint="eastAsia"/>
              </w:rPr>
              <w:t>④</w:t>
            </w:r>
          </w:p>
        </w:tc>
      </w:tr>
      <w:tr w14:paraId="68C4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3D04A74">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681151EC">
      <w:pPr>
        <w:pStyle w:val="19"/>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5B74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E1E9141">
            <w:pPr>
              <w:pStyle w:val="17"/>
              <w:widowControl w:val="0"/>
              <w:jc w:val="left"/>
            </w:pPr>
            <w:r>
              <w:rPr>
                <w:rFonts w:hint="eastAsia"/>
              </w:rPr>
              <w:t>病人安全护理学课程思政教学，以习近平总书记“广大医务工作者要恪守医德医风，修医德、行仁术，怀救苦之心、做苍生大医，努力为人民群众提供更加优质高效的健康服务”的讲话为核心，从安全护理为内涵，挖掘思政元素，融入课堂。通过教育，使学生系统理解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践和未来的从业过程中自觉执行安全的医疗护理行为规范和程序，为服务对象提供优质的健康服务，防止和减少伤害病人的事件发生。</w:t>
            </w:r>
          </w:p>
        </w:tc>
      </w:tr>
    </w:tbl>
    <w:p w14:paraId="53AA1DB9">
      <w:pPr>
        <w:pStyle w:val="19"/>
        <w:spacing w:before="326" w:beforeLines="100" w:line="360" w:lineRule="auto"/>
        <w:rPr>
          <w:rFonts w:ascii="黑体" w:hAnsi="宋体"/>
        </w:rPr>
      </w:pPr>
      <w:r>
        <w:rPr>
          <w:rFonts w:hint="eastAsia" w:ascii="黑体" w:hAnsi="宋体"/>
        </w:rPr>
        <w:t>五、课程考核</w:t>
      </w:r>
      <w:bookmarkStart w:id="2" w:name="OLE_LINK3"/>
      <w:bookmarkStart w:id="3" w:name="OLE_LINK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6B25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4043336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58" w:type="dxa"/>
            <w:vMerge w:val="restart"/>
            <w:tcBorders>
              <w:top w:val="single" w:color="auto" w:sz="12" w:space="0"/>
            </w:tcBorders>
            <w:vAlign w:val="center"/>
          </w:tcPr>
          <w:p w14:paraId="6D18A1AE">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14:paraId="64FF7C2E">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14:paraId="384BE72C">
            <w:pPr>
              <w:pStyle w:val="19"/>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14:paraId="52F0637E">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63C6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1FFD05D0">
            <w:pPr>
              <w:widowControl w:val="0"/>
              <w:snapToGrid w:val="0"/>
              <w:jc w:val="center"/>
              <w:rPr>
                <w:rFonts w:ascii="黑体" w:hAnsi="黑体" w:eastAsia="黑体"/>
                <w:bCs/>
                <w:sz w:val="21"/>
                <w:szCs w:val="21"/>
              </w:rPr>
            </w:pPr>
          </w:p>
        </w:tc>
        <w:tc>
          <w:tcPr>
            <w:tcW w:w="758" w:type="dxa"/>
            <w:vMerge w:val="continue"/>
          </w:tcPr>
          <w:p w14:paraId="48D4C5EB">
            <w:pPr>
              <w:pStyle w:val="19"/>
              <w:widowControl w:val="0"/>
              <w:jc w:val="both"/>
              <w:rPr>
                <w:rFonts w:ascii="黑体" w:hAnsi="黑体"/>
                <w:bCs/>
                <w:sz w:val="21"/>
                <w:szCs w:val="21"/>
              </w:rPr>
            </w:pPr>
          </w:p>
        </w:tc>
        <w:tc>
          <w:tcPr>
            <w:tcW w:w="2518" w:type="dxa"/>
            <w:vMerge w:val="continue"/>
            <w:tcBorders>
              <w:right w:val="double" w:color="auto" w:sz="4" w:space="0"/>
            </w:tcBorders>
          </w:tcPr>
          <w:p w14:paraId="25B99B8B">
            <w:pPr>
              <w:pStyle w:val="19"/>
              <w:widowControl w:val="0"/>
              <w:jc w:val="both"/>
              <w:rPr>
                <w:rFonts w:ascii="黑体" w:hAnsi="黑体"/>
                <w:bCs/>
                <w:sz w:val="21"/>
                <w:szCs w:val="21"/>
              </w:rPr>
            </w:pPr>
          </w:p>
        </w:tc>
        <w:tc>
          <w:tcPr>
            <w:tcW w:w="655" w:type="dxa"/>
            <w:tcBorders>
              <w:left w:val="double" w:color="auto" w:sz="4" w:space="0"/>
            </w:tcBorders>
            <w:vAlign w:val="center"/>
          </w:tcPr>
          <w:p w14:paraId="5C90EECC">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14:paraId="3F25F701">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14:paraId="2E81B49C">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14:paraId="40FA96F2">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14:paraId="687D8652">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14:paraId="3296F1C6">
            <w:pPr>
              <w:pStyle w:val="19"/>
              <w:widowControl w:val="0"/>
              <w:spacing w:line="240" w:lineRule="auto"/>
              <w:jc w:val="center"/>
              <w:rPr>
                <w:rFonts w:ascii="黑体" w:hAnsi="黑体"/>
                <w:bCs/>
                <w:sz w:val="21"/>
                <w:szCs w:val="21"/>
              </w:rPr>
            </w:pPr>
          </w:p>
        </w:tc>
      </w:tr>
      <w:tr w14:paraId="4E5E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3F21746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58" w:type="dxa"/>
            <w:vAlign w:val="center"/>
          </w:tcPr>
          <w:p w14:paraId="017A82BC">
            <w:pPr>
              <w:pStyle w:val="17"/>
              <w:widowControl w:val="0"/>
            </w:pPr>
            <w:r>
              <w:t>40</w:t>
            </w:r>
            <w:r>
              <w:rPr>
                <w:rFonts w:hint="eastAsia"/>
              </w:rPr>
              <w:t>%</w:t>
            </w:r>
          </w:p>
        </w:tc>
        <w:tc>
          <w:tcPr>
            <w:tcW w:w="2518" w:type="dxa"/>
            <w:tcBorders>
              <w:right w:val="double" w:color="auto" w:sz="4" w:space="0"/>
            </w:tcBorders>
            <w:vAlign w:val="center"/>
          </w:tcPr>
          <w:p w14:paraId="53F62370">
            <w:pPr>
              <w:pStyle w:val="17"/>
              <w:widowControl w:val="0"/>
            </w:pPr>
            <w:r>
              <w:rPr>
                <w:rFonts w:hint="eastAsia"/>
              </w:rPr>
              <w:t>期末随堂测试</w:t>
            </w:r>
          </w:p>
        </w:tc>
        <w:tc>
          <w:tcPr>
            <w:tcW w:w="655" w:type="dxa"/>
            <w:tcBorders>
              <w:left w:val="double" w:color="auto" w:sz="4" w:space="0"/>
            </w:tcBorders>
            <w:vAlign w:val="center"/>
          </w:tcPr>
          <w:p w14:paraId="24BA61EC">
            <w:pPr>
              <w:pStyle w:val="17"/>
              <w:widowControl w:val="0"/>
            </w:pPr>
            <w:r>
              <w:t>30</w:t>
            </w:r>
          </w:p>
        </w:tc>
        <w:tc>
          <w:tcPr>
            <w:tcW w:w="655" w:type="dxa"/>
            <w:vAlign w:val="center"/>
          </w:tcPr>
          <w:p w14:paraId="1D4B5EB2">
            <w:pPr>
              <w:pStyle w:val="17"/>
              <w:widowControl w:val="0"/>
            </w:pPr>
            <w:r>
              <w:t>20</w:t>
            </w:r>
          </w:p>
        </w:tc>
        <w:tc>
          <w:tcPr>
            <w:tcW w:w="655" w:type="dxa"/>
            <w:vAlign w:val="center"/>
          </w:tcPr>
          <w:p w14:paraId="6F7CA2D6">
            <w:pPr>
              <w:pStyle w:val="17"/>
              <w:widowControl w:val="0"/>
            </w:pPr>
            <w:r>
              <w:rPr>
                <w:rFonts w:hint="eastAsia"/>
              </w:rPr>
              <w:t>2</w:t>
            </w:r>
            <w:r>
              <w:t>0</w:t>
            </w:r>
          </w:p>
        </w:tc>
        <w:tc>
          <w:tcPr>
            <w:tcW w:w="655" w:type="dxa"/>
            <w:vAlign w:val="center"/>
          </w:tcPr>
          <w:p w14:paraId="1B7FD339">
            <w:pPr>
              <w:pStyle w:val="17"/>
              <w:widowControl w:val="0"/>
            </w:pPr>
            <w:r>
              <w:t>20</w:t>
            </w:r>
          </w:p>
        </w:tc>
        <w:tc>
          <w:tcPr>
            <w:tcW w:w="655" w:type="dxa"/>
            <w:vAlign w:val="center"/>
          </w:tcPr>
          <w:p w14:paraId="11D6DF57">
            <w:pPr>
              <w:pStyle w:val="17"/>
              <w:widowControl w:val="0"/>
            </w:pPr>
            <w:r>
              <w:t>10</w:t>
            </w:r>
          </w:p>
        </w:tc>
        <w:tc>
          <w:tcPr>
            <w:tcW w:w="755" w:type="dxa"/>
            <w:tcBorders>
              <w:right w:val="single" w:color="auto" w:sz="12" w:space="0"/>
            </w:tcBorders>
            <w:vAlign w:val="center"/>
          </w:tcPr>
          <w:p w14:paraId="7B42D7D5">
            <w:pPr>
              <w:pStyle w:val="17"/>
              <w:widowControl w:val="0"/>
            </w:pPr>
            <w:r>
              <w:rPr>
                <w:rFonts w:hint="eastAsia"/>
              </w:rPr>
              <w:t>1</w:t>
            </w:r>
            <w:r>
              <w:t>00</w:t>
            </w:r>
          </w:p>
        </w:tc>
      </w:tr>
      <w:tr w14:paraId="2733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2AE8FDC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58" w:type="dxa"/>
            <w:vAlign w:val="center"/>
          </w:tcPr>
          <w:p w14:paraId="475C9428">
            <w:pPr>
              <w:pStyle w:val="17"/>
              <w:widowControl w:val="0"/>
            </w:pPr>
            <w:r>
              <w:t>30</w:t>
            </w:r>
            <w:r>
              <w:rPr>
                <w:rFonts w:hint="eastAsia"/>
              </w:rPr>
              <w:t>%</w:t>
            </w:r>
          </w:p>
        </w:tc>
        <w:tc>
          <w:tcPr>
            <w:tcW w:w="2518" w:type="dxa"/>
            <w:tcBorders>
              <w:right w:val="double" w:color="auto" w:sz="4" w:space="0"/>
            </w:tcBorders>
            <w:vAlign w:val="center"/>
          </w:tcPr>
          <w:p w14:paraId="45ACACB4">
            <w:pPr>
              <w:pStyle w:val="17"/>
              <w:widowControl w:val="0"/>
            </w:pPr>
            <w:r>
              <w:rPr>
                <w:rFonts w:hint="eastAsia"/>
              </w:rPr>
              <w:t>单元测验</w:t>
            </w:r>
          </w:p>
        </w:tc>
        <w:tc>
          <w:tcPr>
            <w:tcW w:w="655" w:type="dxa"/>
            <w:tcBorders>
              <w:left w:val="double" w:color="auto" w:sz="4" w:space="0"/>
            </w:tcBorders>
            <w:vAlign w:val="center"/>
          </w:tcPr>
          <w:p w14:paraId="0C6A5DFE">
            <w:pPr>
              <w:pStyle w:val="17"/>
              <w:widowControl w:val="0"/>
            </w:pPr>
            <w:r>
              <w:t>50</w:t>
            </w:r>
          </w:p>
        </w:tc>
        <w:tc>
          <w:tcPr>
            <w:tcW w:w="655" w:type="dxa"/>
            <w:vAlign w:val="center"/>
          </w:tcPr>
          <w:p w14:paraId="67A4A2A0">
            <w:pPr>
              <w:pStyle w:val="17"/>
              <w:widowControl w:val="0"/>
            </w:pPr>
            <w:r>
              <w:t>20</w:t>
            </w:r>
          </w:p>
        </w:tc>
        <w:tc>
          <w:tcPr>
            <w:tcW w:w="655" w:type="dxa"/>
            <w:vAlign w:val="center"/>
          </w:tcPr>
          <w:p w14:paraId="31FFCDA9">
            <w:pPr>
              <w:pStyle w:val="17"/>
              <w:widowControl w:val="0"/>
            </w:pPr>
            <w:r>
              <w:t>30</w:t>
            </w:r>
          </w:p>
        </w:tc>
        <w:tc>
          <w:tcPr>
            <w:tcW w:w="655" w:type="dxa"/>
            <w:vAlign w:val="center"/>
          </w:tcPr>
          <w:p w14:paraId="3D8197B3">
            <w:pPr>
              <w:pStyle w:val="17"/>
              <w:widowControl w:val="0"/>
            </w:pPr>
          </w:p>
        </w:tc>
        <w:tc>
          <w:tcPr>
            <w:tcW w:w="655" w:type="dxa"/>
            <w:vAlign w:val="center"/>
          </w:tcPr>
          <w:p w14:paraId="2FA5768F">
            <w:pPr>
              <w:pStyle w:val="17"/>
              <w:widowControl w:val="0"/>
            </w:pPr>
          </w:p>
        </w:tc>
        <w:tc>
          <w:tcPr>
            <w:tcW w:w="755" w:type="dxa"/>
            <w:tcBorders>
              <w:right w:val="single" w:color="auto" w:sz="12" w:space="0"/>
            </w:tcBorders>
            <w:vAlign w:val="center"/>
          </w:tcPr>
          <w:p w14:paraId="79C21F31">
            <w:pPr>
              <w:pStyle w:val="17"/>
              <w:widowControl w:val="0"/>
            </w:pPr>
            <w:r>
              <w:rPr>
                <w:rFonts w:hint="eastAsia"/>
              </w:rPr>
              <w:t>1</w:t>
            </w:r>
            <w:r>
              <w:t>00</w:t>
            </w:r>
          </w:p>
        </w:tc>
      </w:tr>
      <w:tr w14:paraId="0C67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00ABF44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58" w:type="dxa"/>
            <w:vAlign w:val="center"/>
          </w:tcPr>
          <w:p w14:paraId="5FC5F671">
            <w:pPr>
              <w:pStyle w:val="17"/>
              <w:widowControl w:val="0"/>
            </w:pPr>
            <w:r>
              <w:t>20</w:t>
            </w:r>
            <w:r>
              <w:rPr>
                <w:rFonts w:hint="eastAsia"/>
              </w:rPr>
              <w:t>%</w:t>
            </w:r>
          </w:p>
        </w:tc>
        <w:tc>
          <w:tcPr>
            <w:tcW w:w="2518" w:type="dxa"/>
            <w:tcBorders>
              <w:right w:val="double" w:color="auto" w:sz="4" w:space="0"/>
            </w:tcBorders>
            <w:vAlign w:val="center"/>
          </w:tcPr>
          <w:p w14:paraId="488C39EC">
            <w:pPr>
              <w:pStyle w:val="17"/>
              <w:widowControl w:val="0"/>
            </w:pPr>
            <w:r>
              <w:rPr>
                <w:rFonts w:hint="eastAsia"/>
              </w:rPr>
              <w:t>实验报告</w:t>
            </w:r>
          </w:p>
        </w:tc>
        <w:tc>
          <w:tcPr>
            <w:tcW w:w="655" w:type="dxa"/>
            <w:tcBorders>
              <w:left w:val="double" w:color="auto" w:sz="4" w:space="0"/>
            </w:tcBorders>
            <w:vAlign w:val="center"/>
          </w:tcPr>
          <w:p w14:paraId="4696F51D">
            <w:pPr>
              <w:pStyle w:val="17"/>
              <w:widowControl w:val="0"/>
            </w:pPr>
          </w:p>
        </w:tc>
        <w:tc>
          <w:tcPr>
            <w:tcW w:w="655" w:type="dxa"/>
            <w:vAlign w:val="center"/>
          </w:tcPr>
          <w:p w14:paraId="28464655">
            <w:pPr>
              <w:pStyle w:val="17"/>
              <w:widowControl w:val="0"/>
            </w:pPr>
          </w:p>
        </w:tc>
        <w:tc>
          <w:tcPr>
            <w:tcW w:w="655" w:type="dxa"/>
            <w:vAlign w:val="center"/>
          </w:tcPr>
          <w:p w14:paraId="2B04FAD4">
            <w:pPr>
              <w:pStyle w:val="17"/>
              <w:widowControl w:val="0"/>
            </w:pPr>
            <w:r>
              <w:t>20</w:t>
            </w:r>
          </w:p>
        </w:tc>
        <w:tc>
          <w:tcPr>
            <w:tcW w:w="655" w:type="dxa"/>
            <w:vAlign w:val="center"/>
          </w:tcPr>
          <w:p w14:paraId="79176995">
            <w:pPr>
              <w:pStyle w:val="17"/>
              <w:widowControl w:val="0"/>
            </w:pPr>
            <w:r>
              <w:t>40</w:t>
            </w:r>
          </w:p>
        </w:tc>
        <w:tc>
          <w:tcPr>
            <w:tcW w:w="655" w:type="dxa"/>
            <w:vAlign w:val="center"/>
          </w:tcPr>
          <w:p w14:paraId="123A7FC7">
            <w:pPr>
              <w:pStyle w:val="17"/>
              <w:widowControl w:val="0"/>
            </w:pPr>
            <w:r>
              <w:t>40</w:t>
            </w:r>
          </w:p>
        </w:tc>
        <w:tc>
          <w:tcPr>
            <w:tcW w:w="755" w:type="dxa"/>
            <w:tcBorders>
              <w:right w:val="single" w:color="auto" w:sz="12" w:space="0"/>
            </w:tcBorders>
            <w:vAlign w:val="center"/>
          </w:tcPr>
          <w:p w14:paraId="6944B880">
            <w:pPr>
              <w:pStyle w:val="17"/>
              <w:widowControl w:val="0"/>
            </w:pPr>
            <w:r>
              <w:rPr>
                <w:rFonts w:hint="eastAsia"/>
              </w:rPr>
              <w:t>1</w:t>
            </w:r>
            <w:r>
              <w:t>00</w:t>
            </w:r>
          </w:p>
        </w:tc>
      </w:tr>
      <w:tr w14:paraId="091C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14:paraId="67145D9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58" w:type="dxa"/>
            <w:tcBorders>
              <w:bottom w:val="single" w:color="auto" w:sz="12" w:space="0"/>
            </w:tcBorders>
            <w:vAlign w:val="center"/>
          </w:tcPr>
          <w:p w14:paraId="13573A08">
            <w:pPr>
              <w:pStyle w:val="17"/>
              <w:widowControl w:val="0"/>
            </w:pPr>
            <w:r>
              <w:rPr>
                <w:rFonts w:hint="eastAsia"/>
              </w:rPr>
              <w:t>1</w:t>
            </w:r>
            <w:r>
              <w:t>0%</w:t>
            </w:r>
          </w:p>
        </w:tc>
        <w:tc>
          <w:tcPr>
            <w:tcW w:w="2518" w:type="dxa"/>
            <w:tcBorders>
              <w:bottom w:val="single" w:color="auto" w:sz="12" w:space="0"/>
              <w:right w:val="double" w:color="auto" w:sz="4" w:space="0"/>
            </w:tcBorders>
            <w:vAlign w:val="center"/>
          </w:tcPr>
          <w:p w14:paraId="145A0606">
            <w:pPr>
              <w:pStyle w:val="17"/>
              <w:widowControl w:val="0"/>
            </w:pPr>
            <w:r>
              <w:rPr>
                <w:rFonts w:hint="eastAsia"/>
              </w:rPr>
              <w:t>课堂表现</w:t>
            </w:r>
          </w:p>
        </w:tc>
        <w:tc>
          <w:tcPr>
            <w:tcW w:w="655" w:type="dxa"/>
            <w:tcBorders>
              <w:left w:val="double" w:color="auto" w:sz="4" w:space="0"/>
              <w:bottom w:val="single" w:color="auto" w:sz="12" w:space="0"/>
            </w:tcBorders>
            <w:vAlign w:val="center"/>
          </w:tcPr>
          <w:p w14:paraId="5CA5C1BC">
            <w:pPr>
              <w:pStyle w:val="17"/>
              <w:widowControl w:val="0"/>
            </w:pPr>
          </w:p>
        </w:tc>
        <w:tc>
          <w:tcPr>
            <w:tcW w:w="655" w:type="dxa"/>
            <w:tcBorders>
              <w:bottom w:val="single" w:color="auto" w:sz="12" w:space="0"/>
            </w:tcBorders>
            <w:vAlign w:val="center"/>
          </w:tcPr>
          <w:p w14:paraId="5E0633EB">
            <w:pPr>
              <w:pStyle w:val="17"/>
              <w:widowControl w:val="0"/>
            </w:pPr>
          </w:p>
        </w:tc>
        <w:tc>
          <w:tcPr>
            <w:tcW w:w="655" w:type="dxa"/>
            <w:tcBorders>
              <w:bottom w:val="single" w:color="auto" w:sz="12" w:space="0"/>
            </w:tcBorders>
            <w:vAlign w:val="center"/>
          </w:tcPr>
          <w:p w14:paraId="2F02AA6B">
            <w:pPr>
              <w:pStyle w:val="17"/>
              <w:widowControl w:val="0"/>
            </w:pPr>
            <w:r>
              <w:t>30</w:t>
            </w:r>
          </w:p>
        </w:tc>
        <w:tc>
          <w:tcPr>
            <w:tcW w:w="655" w:type="dxa"/>
            <w:tcBorders>
              <w:bottom w:val="single" w:color="auto" w:sz="12" w:space="0"/>
            </w:tcBorders>
            <w:vAlign w:val="center"/>
          </w:tcPr>
          <w:p w14:paraId="1450A1DE">
            <w:pPr>
              <w:pStyle w:val="17"/>
              <w:widowControl w:val="0"/>
            </w:pPr>
            <w:r>
              <w:t>30</w:t>
            </w:r>
          </w:p>
        </w:tc>
        <w:tc>
          <w:tcPr>
            <w:tcW w:w="655" w:type="dxa"/>
            <w:tcBorders>
              <w:bottom w:val="single" w:color="auto" w:sz="12" w:space="0"/>
            </w:tcBorders>
            <w:vAlign w:val="center"/>
          </w:tcPr>
          <w:p w14:paraId="745E70B3">
            <w:pPr>
              <w:pStyle w:val="17"/>
              <w:widowControl w:val="0"/>
            </w:pPr>
            <w:r>
              <w:t>40</w:t>
            </w:r>
          </w:p>
        </w:tc>
        <w:tc>
          <w:tcPr>
            <w:tcW w:w="755" w:type="dxa"/>
            <w:tcBorders>
              <w:bottom w:val="single" w:color="auto" w:sz="12" w:space="0"/>
              <w:right w:val="single" w:color="auto" w:sz="12" w:space="0"/>
            </w:tcBorders>
            <w:vAlign w:val="center"/>
          </w:tcPr>
          <w:p w14:paraId="661685ED">
            <w:pPr>
              <w:pStyle w:val="17"/>
              <w:widowControl w:val="0"/>
            </w:pPr>
            <w:r>
              <w:rPr>
                <w:rFonts w:hint="eastAsia"/>
              </w:rPr>
              <w:t>1</w:t>
            </w:r>
            <w:r>
              <w:t>00</w:t>
            </w:r>
          </w:p>
        </w:tc>
      </w:tr>
      <w:bookmarkEnd w:id="2"/>
      <w:bookmarkEnd w:id="3"/>
    </w:tbl>
    <w:p w14:paraId="2E52E922">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98C6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DC694F1">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64CC85B">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AAF06A0">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79E117A">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461137A2">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1D90122D">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3B161766">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8705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BA7444D">
            <w:pPr>
              <w:widowControl w:val="0"/>
              <w:snapToGrid w:val="0"/>
              <w:jc w:val="center"/>
              <w:rPr>
                <w:rFonts w:ascii="黑体" w:hAnsi="黑体" w:eastAsia="黑体"/>
                <w:bCs/>
                <w:sz w:val="21"/>
                <w:szCs w:val="21"/>
              </w:rPr>
            </w:pPr>
          </w:p>
        </w:tc>
        <w:tc>
          <w:tcPr>
            <w:tcW w:w="648" w:type="dxa"/>
            <w:vMerge w:val="continue"/>
          </w:tcPr>
          <w:p w14:paraId="5AF44957">
            <w:pPr>
              <w:pStyle w:val="19"/>
              <w:widowControl w:val="0"/>
              <w:jc w:val="both"/>
              <w:rPr>
                <w:rFonts w:ascii="黑体" w:hAnsi="黑体"/>
                <w:bCs/>
                <w:sz w:val="21"/>
                <w:szCs w:val="21"/>
              </w:rPr>
            </w:pPr>
          </w:p>
        </w:tc>
        <w:tc>
          <w:tcPr>
            <w:tcW w:w="1403" w:type="dxa"/>
            <w:vMerge w:val="continue"/>
          </w:tcPr>
          <w:p w14:paraId="68AE62BF">
            <w:pPr>
              <w:pStyle w:val="19"/>
              <w:widowControl w:val="0"/>
              <w:jc w:val="both"/>
              <w:rPr>
                <w:rFonts w:ascii="黑体" w:hAnsi="黑体"/>
                <w:bCs/>
                <w:sz w:val="21"/>
                <w:szCs w:val="21"/>
              </w:rPr>
            </w:pPr>
          </w:p>
        </w:tc>
        <w:tc>
          <w:tcPr>
            <w:tcW w:w="1403" w:type="dxa"/>
            <w:vAlign w:val="center"/>
          </w:tcPr>
          <w:p w14:paraId="050F38EB">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40748B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167C866B">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23D81BA">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CA681A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AC8CFA4">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74D2969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DE86B7C">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AEB0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7C4CB0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13AC879C">
            <w:pPr>
              <w:widowControl w:val="0"/>
              <w:snapToGrid w:val="0"/>
              <w:jc w:val="center"/>
              <w:rPr>
                <w:rFonts w:ascii="Arial" w:hAnsi="Arial" w:eastAsia="黑体" w:cs="Arial"/>
                <w:bCs/>
                <w:sz w:val="21"/>
                <w:szCs w:val="21"/>
              </w:rPr>
            </w:pPr>
          </w:p>
        </w:tc>
        <w:tc>
          <w:tcPr>
            <w:tcW w:w="1403" w:type="dxa"/>
          </w:tcPr>
          <w:p w14:paraId="5CDB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D5525D4">
            <w:pPr>
              <w:pStyle w:val="17"/>
              <w:widowControl w:val="0"/>
              <w:jc w:val="both"/>
            </w:pPr>
          </w:p>
        </w:tc>
        <w:tc>
          <w:tcPr>
            <w:tcW w:w="1403" w:type="dxa"/>
          </w:tcPr>
          <w:p w14:paraId="2699212A">
            <w:pPr>
              <w:pStyle w:val="17"/>
              <w:widowControl w:val="0"/>
              <w:jc w:val="both"/>
            </w:pPr>
          </w:p>
        </w:tc>
        <w:tc>
          <w:tcPr>
            <w:tcW w:w="1403" w:type="dxa"/>
          </w:tcPr>
          <w:p w14:paraId="5B9A185B">
            <w:pPr>
              <w:pStyle w:val="17"/>
              <w:widowControl w:val="0"/>
              <w:jc w:val="both"/>
            </w:pPr>
          </w:p>
        </w:tc>
        <w:tc>
          <w:tcPr>
            <w:tcW w:w="1403" w:type="dxa"/>
          </w:tcPr>
          <w:p w14:paraId="41A53B91">
            <w:pPr>
              <w:pStyle w:val="8"/>
              <w:widowControl/>
              <w:shd w:val="clear" w:color="auto" w:fill="FFFFFF"/>
              <w:jc w:val="both"/>
            </w:pPr>
          </w:p>
        </w:tc>
      </w:tr>
      <w:tr w14:paraId="69274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4ADB3B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6D4D64A">
            <w:pPr>
              <w:widowControl w:val="0"/>
              <w:snapToGrid w:val="0"/>
              <w:jc w:val="center"/>
              <w:rPr>
                <w:rFonts w:ascii="Arial" w:hAnsi="Arial" w:eastAsia="黑体" w:cs="Arial"/>
                <w:bCs/>
                <w:sz w:val="21"/>
                <w:szCs w:val="21"/>
              </w:rPr>
            </w:pPr>
          </w:p>
        </w:tc>
        <w:tc>
          <w:tcPr>
            <w:tcW w:w="1403" w:type="dxa"/>
            <w:vAlign w:val="center"/>
          </w:tcPr>
          <w:p w14:paraId="1E2DA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94EC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43D8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854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2A18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D123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4259A9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1A77B6D">
            <w:pPr>
              <w:widowControl w:val="0"/>
              <w:snapToGrid w:val="0"/>
              <w:jc w:val="center"/>
              <w:rPr>
                <w:rFonts w:ascii="Arial" w:hAnsi="Arial" w:eastAsia="黑体" w:cs="Arial"/>
                <w:bCs/>
                <w:sz w:val="21"/>
                <w:szCs w:val="21"/>
              </w:rPr>
            </w:pPr>
          </w:p>
        </w:tc>
        <w:tc>
          <w:tcPr>
            <w:tcW w:w="1403" w:type="dxa"/>
            <w:vAlign w:val="center"/>
          </w:tcPr>
          <w:p w14:paraId="2136D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0736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379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EBBB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2D5B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374D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E67638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F613390">
            <w:pPr>
              <w:widowControl w:val="0"/>
              <w:snapToGrid w:val="0"/>
              <w:jc w:val="center"/>
              <w:rPr>
                <w:rFonts w:ascii="Arial" w:hAnsi="Arial" w:eastAsia="黑体" w:cs="Arial"/>
                <w:bCs/>
                <w:sz w:val="21"/>
                <w:szCs w:val="21"/>
              </w:rPr>
            </w:pPr>
          </w:p>
        </w:tc>
        <w:tc>
          <w:tcPr>
            <w:tcW w:w="1403" w:type="dxa"/>
            <w:vAlign w:val="center"/>
          </w:tcPr>
          <w:p w14:paraId="5F040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81F90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E098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8B2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3A6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C156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3DEC7F2">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54A96B3A">
            <w:pPr>
              <w:widowControl w:val="0"/>
              <w:snapToGrid w:val="0"/>
              <w:jc w:val="center"/>
              <w:rPr>
                <w:rFonts w:ascii="Arial" w:hAnsi="Arial" w:eastAsia="黑体" w:cs="Arial"/>
                <w:bCs/>
                <w:sz w:val="21"/>
                <w:szCs w:val="21"/>
              </w:rPr>
            </w:pPr>
          </w:p>
        </w:tc>
        <w:tc>
          <w:tcPr>
            <w:tcW w:w="1403" w:type="dxa"/>
            <w:vAlign w:val="center"/>
          </w:tcPr>
          <w:p w14:paraId="02836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40E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73C6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245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3EE6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10A1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B938019">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24A60777">
            <w:pPr>
              <w:widowControl w:val="0"/>
              <w:snapToGrid w:val="0"/>
              <w:jc w:val="center"/>
              <w:rPr>
                <w:rFonts w:ascii="Arial" w:hAnsi="Arial" w:eastAsia="黑体" w:cs="Arial"/>
                <w:bCs/>
                <w:sz w:val="21"/>
                <w:szCs w:val="21"/>
              </w:rPr>
            </w:pPr>
          </w:p>
        </w:tc>
        <w:tc>
          <w:tcPr>
            <w:tcW w:w="1403" w:type="dxa"/>
            <w:vAlign w:val="center"/>
          </w:tcPr>
          <w:p w14:paraId="10792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2A1F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AF318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119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CC37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6A897D76">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A5F6F0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79F0A5C">
            <w:pPr>
              <w:pStyle w:val="17"/>
              <w:widowControl w:val="0"/>
              <w:jc w:val="left"/>
              <w:rPr>
                <w:rFonts w:ascii="仿宋" w:hAnsi="仿宋" w:eastAsia="仿宋" w:cs="仿宋"/>
              </w:rPr>
            </w:pPr>
          </w:p>
          <w:p w14:paraId="6B5D33E0">
            <w:pPr>
              <w:pStyle w:val="17"/>
              <w:widowControl w:val="0"/>
              <w:jc w:val="left"/>
              <w:rPr>
                <w:rFonts w:ascii="宋体" w:hAnsi="宋体"/>
                <w:bCs/>
              </w:rPr>
            </w:pPr>
            <w:r>
              <w:rPr>
                <w:rFonts w:hint="eastAsia" w:ascii="宋体" w:hAnsi="宋体"/>
                <w:bCs/>
              </w:rPr>
              <w:t>无。</w:t>
            </w:r>
          </w:p>
          <w:p w14:paraId="719C0B03">
            <w:pPr>
              <w:pStyle w:val="17"/>
              <w:widowControl w:val="0"/>
              <w:jc w:val="left"/>
              <w:rPr>
                <w:rFonts w:ascii="黑体"/>
              </w:rPr>
            </w:pPr>
          </w:p>
        </w:tc>
      </w:tr>
    </w:tbl>
    <w:p w14:paraId="0A31FEB0">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4231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57022A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57022A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E49B"/>
    <w:multiLevelType w:val="singleLevel"/>
    <w:tmpl w:val="F988E4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00CF7"/>
    <w:rsid w:val="00017B8F"/>
    <w:rsid w:val="000203E0"/>
    <w:rsid w:val="000210E0"/>
    <w:rsid w:val="000244B1"/>
    <w:rsid w:val="00033082"/>
    <w:rsid w:val="00044088"/>
    <w:rsid w:val="000472C6"/>
    <w:rsid w:val="00053590"/>
    <w:rsid w:val="0006001D"/>
    <w:rsid w:val="00066041"/>
    <w:rsid w:val="000662F5"/>
    <w:rsid w:val="00076794"/>
    <w:rsid w:val="0008122A"/>
    <w:rsid w:val="00087488"/>
    <w:rsid w:val="0009050A"/>
    <w:rsid w:val="0009630A"/>
    <w:rsid w:val="0009721F"/>
    <w:rsid w:val="000A4E73"/>
    <w:rsid w:val="000A7BF4"/>
    <w:rsid w:val="000B1BD2"/>
    <w:rsid w:val="000C0F0D"/>
    <w:rsid w:val="000C13BC"/>
    <w:rsid w:val="000C1752"/>
    <w:rsid w:val="000D1A86"/>
    <w:rsid w:val="000D28E5"/>
    <w:rsid w:val="000D34D7"/>
    <w:rsid w:val="000D6C00"/>
    <w:rsid w:val="000E3403"/>
    <w:rsid w:val="000E3709"/>
    <w:rsid w:val="000F5A72"/>
    <w:rsid w:val="00100633"/>
    <w:rsid w:val="001072BC"/>
    <w:rsid w:val="00114BD6"/>
    <w:rsid w:val="00122B14"/>
    <w:rsid w:val="0012396B"/>
    <w:rsid w:val="00125717"/>
    <w:rsid w:val="00130F6D"/>
    <w:rsid w:val="00133554"/>
    <w:rsid w:val="00134AAA"/>
    <w:rsid w:val="00144082"/>
    <w:rsid w:val="00147BBE"/>
    <w:rsid w:val="0016381F"/>
    <w:rsid w:val="00163A48"/>
    <w:rsid w:val="00164E36"/>
    <w:rsid w:val="001678A2"/>
    <w:rsid w:val="00183AA1"/>
    <w:rsid w:val="0018767C"/>
    <w:rsid w:val="001A135C"/>
    <w:rsid w:val="001A3FC1"/>
    <w:rsid w:val="001B0D49"/>
    <w:rsid w:val="001B546F"/>
    <w:rsid w:val="001C0F80"/>
    <w:rsid w:val="001C16FC"/>
    <w:rsid w:val="001C2E3E"/>
    <w:rsid w:val="001C388D"/>
    <w:rsid w:val="001C60F1"/>
    <w:rsid w:val="001E0494"/>
    <w:rsid w:val="001E1D2D"/>
    <w:rsid w:val="001E5A17"/>
    <w:rsid w:val="001E67E2"/>
    <w:rsid w:val="001F284E"/>
    <w:rsid w:val="001F332E"/>
    <w:rsid w:val="00202AF8"/>
    <w:rsid w:val="0020688A"/>
    <w:rsid w:val="002104B4"/>
    <w:rsid w:val="0021393C"/>
    <w:rsid w:val="00217861"/>
    <w:rsid w:val="002204E4"/>
    <w:rsid w:val="002211BF"/>
    <w:rsid w:val="00230EED"/>
    <w:rsid w:val="002319E2"/>
    <w:rsid w:val="00233F15"/>
    <w:rsid w:val="002420F1"/>
    <w:rsid w:val="00245CC1"/>
    <w:rsid w:val="00246816"/>
    <w:rsid w:val="00253AC8"/>
    <w:rsid w:val="00256B39"/>
    <w:rsid w:val="0026033C"/>
    <w:rsid w:val="00262361"/>
    <w:rsid w:val="00264AE4"/>
    <w:rsid w:val="0027339A"/>
    <w:rsid w:val="00274E82"/>
    <w:rsid w:val="002757AB"/>
    <w:rsid w:val="0027777C"/>
    <w:rsid w:val="00277FE7"/>
    <w:rsid w:val="00285AA2"/>
    <w:rsid w:val="002877FA"/>
    <w:rsid w:val="00287C29"/>
    <w:rsid w:val="00290962"/>
    <w:rsid w:val="0029110B"/>
    <w:rsid w:val="0029259E"/>
    <w:rsid w:val="00294E36"/>
    <w:rsid w:val="002A3501"/>
    <w:rsid w:val="002A4649"/>
    <w:rsid w:val="002A7227"/>
    <w:rsid w:val="002B0773"/>
    <w:rsid w:val="002B0C48"/>
    <w:rsid w:val="002B13CA"/>
    <w:rsid w:val="002B2245"/>
    <w:rsid w:val="002B3650"/>
    <w:rsid w:val="002B7322"/>
    <w:rsid w:val="002C58B6"/>
    <w:rsid w:val="002D0E86"/>
    <w:rsid w:val="002D3F7D"/>
    <w:rsid w:val="002D6899"/>
    <w:rsid w:val="002D7C47"/>
    <w:rsid w:val="002E33CE"/>
    <w:rsid w:val="002E3721"/>
    <w:rsid w:val="002E6F95"/>
    <w:rsid w:val="002E764D"/>
    <w:rsid w:val="002E7A06"/>
    <w:rsid w:val="002F3157"/>
    <w:rsid w:val="002F6BD5"/>
    <w:rsid w:val="003025FD"/>
    <w:rsid w:val="00305F23"/>
    <w:rsid w:val="00313BBA"/>
    <w:rsid w:val="00317E29"/>
    <w:rsid w:val="00321515"/>
    <w:rsid w:val="003223C2"/>
    <w:rsid w:val="0032602E"/>
    <w:rsid w:val="00327B8C"/>
    <w:rsid w:val="00331638"/>
    <w:rsid w:val="00333B29"/>
    <w:rsid w:val="003344A7"/>
    <w:rsid w:val="00334623"/>
    <w:rsid w:val="003367AE"/>
    <w:rsid w:val="00340439"/>
    <w:rsid w:val="00344EF2"/>
    <w:rsid w:val="00347EB8"/>
    <w:rsid w:val="00347F80"/>
    <w:rsid w:val="00352E24"/>
    <w:rsid w:val="00353F74"/>
    <w:rsid w:val="0035526F"/>
    <w:rsid w:val="003557DE"/>
    <w:rsid w:val="00361BEB"/>
    <w:rsid w:val="00365704"/>
    <w:rsid w:val="00370184"/>
    <w:rsid w:val="00373C8A"/>
    <w:rsid w:val="0037743C"/>
    <w:rsid w:val="00377C10"/>
    <w:rsid w:val="0038278C"/>
    <w:rsid w:val="00384A1F"/>
    <w:rsid w:val="00384D60"/>
    <w:rsid w:val="00385D41"/>
    <w:rsid w:val="003861BA"/>
    <w:rsid w:val="003A1680"/>
    <w:rsid w:val="003A373C"/>
    <w:rsid w:val="003A5874"/>
    <w:rsid w:val="003B1258"/>
    <w:rsid w:val="003B4A81"/>
    <w:rsid w:val="003B732D"/>
    <w:rsid w:val="003C1F8D"/>
    <w:rsid w:val="003C61A5"/>
    <w:rsid w:val="003D138E"/>
    <w:rsid w:val="003D1968"/>
    <w:rsid w:val="003D4994"/>
    <w:rsid w:val="003E10A5"/>
    <w:rsid w:val="003E26EF"/>
    <w:rsid w:val="003E67AE"/>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21593"/>
    <w:rsid w:val="00424BA5"/>
    <w:rsid w:val="00425431"/>
    <w:rsid w:val="00431829"/>
    <w:rsid w:val="0043488B"/>
    <w:rsid w:val="00437B60"/>
    <w:rsid w:val="004405E6"/>
    <w:rsid w:val="00443C84"/>
    <w:rsid w:val="00443C89"/>
    <w:rsid w:val="0045159A"/>
    <w:rsid w:val="004540AA"/>
    <w:rsid w:val="00456BD8"/>
    <w:rsid w:val="00456DC8"/>
    <w:rsid w:val="0046549D"/>
    <w:rsid w:val="00466140"/>
    <w:rsid w:val="00471668"/>
    <w:rsid w:val="004743C8"/>
    <w:rsid w:val="0047634E"/>
    <w:rsid w:val="004779C1"/>
    <w:rsid w:val="00481F98"/>
    <w:rsid w:val="004852BF"/>
    <w:rsid w:val="00487A46"/>
    <w:rsid w:val="00493504"/>
    <w:rsid w:val="00494579"/>
    <w:rsid w:val="00496F07"/>
    <w:rsid w:val="00497334"/>
    <w:rsid w:val="004A4645"/>
    <w:rsid w:val="004A5DB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504DF9"/>
    <w:rsid w:val="005074E1"/>
    <w:rsid w:val="005126F1"/>
    <w:rsid w:val="00513F2F"/>
    <w:rsid w:val="0051612A"/>
    <w:rsid w:val="00517176"/>
    <w:rsid w:val="0052192E"/>
    <w:rsid w:val="00524300"/>
    <w:rsid w:val="00532FD6"/>
    <w:rsid w:val="0054115E"/>
    <w:rsid w:val="00541F72"/>
    <w:rsid w:val="00542388"/>
    <w:rsid w:val="00544523"/>
    <w:rsid w:val="005467DC"/>
    <w:rsid w:val="00546A82"/>
    <w:rsid w:val="00547C51"/>
    <w:rsid w:val="00551335"/>
    <w:rsid w:val="005519BB"/>
    <w:rsid w:val="00551E10"/>
    <w:rsid w:val="005523FD"/>
    <w:rsid w:val="00553D03"/>
    <w:rsid w:val="00555BA0"/>
    <w:rsid w:val="00555E07"/>
    <w:rsid w:val="00556E41"/>
    <w:rsid w:val="0057220D"/>
    <w:rsid w:val="0057496F"/>
    <w:rsid w:val="005770A6"/>
    <w:rsid w:val="0059045B"/>
    <w:rsid w:val="00592B66"/>
    <w:rsid w:val="00597EC2"/>
    <w:rsid w:val="005A13AB"/>
    <w:rsid w:val="005B1150"/>
    <w:rsid w:val="005B1FFC"/>
    <w:rsid w:val="005B2B6D"/>
    <w:rsid w:val="005B4B4E"/>
    <w:rsid w:val="005C3A76"/>
    <w:rsid w:val="005C6D52"/>
    <w:rsid w:val="005D391F"/>
    <w:rsid w:val="005D5B6F"/>
    <w:rsid w:val="005E38A5"/>
    <w:rsid w:val="005E766B"/>
    <w:rsid w:val="005F5185"/>
    <w:rsid w:val="00616358"/>
    <w:rsid w:val="0062115C"/>
    <w:rsid w:val="0062265B"/>
    <w:rsid w:val="00624B5C"/>
    <w:rsid w:val="00624FE1"/>
    <w:rsid w:val="0062577D"/>
    <w:rsid w:val="00630BE7"/>
    <w:rsid w:val="0063249D"/>
    <w:rsid w:val="006331EE"/>
    <w:rsid w:val="00633858"/>
    <w:rsid w:val="006355E6"/>
    <w:rsid w:val="00637E00"/>
    <w:rsid w:val="0064038A"/>
    <w:rsid w:val="00642737"/>
    <w:rsid w:val="0064580A"/>
    <w:rsid w:val="00647ECC"/>
    <w:rsid w:val="0065167D"/>
    <w:rsid w:val="00652D13"/>
    <w:rsid w:val="0066595A"/>
    <w:rsid w:val="00666206"/>
    <w:rsid w:val="00672788"/>
    <w:rsid w:val="00676183"/>
    <w:rsid w:val="0068060F"/>
    <w:rsid w:val="00680DA3"/>
    <w:rsid w:val="0068377F"/>
    <w:rsid w:val="00691B24"/>
    <w:rsid w:val="00695B93"/>
    <w:rsid w:val="00697C16"/>
    <w:rsid w:val="006A3965"/>
    <w:rsid w:val="006A5A89"/>
    <w:rsid w:val="006B3BB9"/>
    <w:rsid w:val="006B48AC"/>
    <w:rsid w:val="006B5977"/>
    <w:rsid w:val="006C5CA8"/>
    <w:rsid w:val="006D1B59"/>
    <w:rsid w:val="006D2F9C"/>
    <w:rsid w:val="006D4351"/>
    <w:rsid w:val="006D5424"/>
    <w:rsid w:val="006E57DC"/>
    <w:rsid w:val="006E5CA9"/>
    <w:rsid w:val="006E5E98"/>
    <w:rsid w:val="006E7A37"/>
    <w:rsid w:val="006F3151"/>
    <w:rsid w:val="007011CA"/>
    <w:rsid w:val="007056DE"/>
    <w:rsid w:val="00706121"/>
    <w:rsid w:val="00710B6B"/>
    <w:rsid w:val="00712A2C"/>
    <w:rsid w:val="00712E84"/>
    <w:rsid w:val="00714914"/>
    <w:rsid w:val="0071663B"/>
    <w:rsid w:val="007208D6"/>
    <w:rsid w:val="007252BA"/>
    <w:rsid w:val="0072584A"/>
    <w:rsid w:val="00726786"/>
    <w:rsid w:val="00730D75"/>
    <w:rsid w:val="00732152"/>
    <w:rsid w:val="007428DF"/>
    <w:rsid w:val="00742BD1"/>
    <w:rsid w:val="00742E7A"/>
    <w:rsid w:val="0074424F"/>
    <w:rsid w:val="00755DB7"/>
    <w:rsid w:val="00764FD9"/>
    <w:rsid w:val="007740B2"/>
    <w:rsid w:val="00774C1F"/>
    <w:rsid w:val="0078194F"/>
    <w:rsid w:val="00790CDF"/>
    <w:rsid w:val="007934A4"/>
    <w:rsid w:val="007971F6"/>
    <w:rsid w:val="007A0AC9"/>
    <w:rsid w:val="007A1B70"/>
    <w:rsid w:val="007A57F6"/>
    <w:rsid w:val="007B2F51"/>
    <w:rsid w:val="007B376E"/>
    <w:rsid w:val="007B4FFB"/>
    <w:rsid w:val="007C0BCE"/>
    <w:rsid w:val="007C1D1B"/>
    <w:rsid w:val="007C2955"/>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2806"/>
    <w:rsid w:val="00857FA5"/>
    <w:rsid w:val="00882E15"/>
    <w:rsid w:val="0088342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060D5"/>
    <w:rsid w:val="009147D6"/>
    <w:rsid w:val="00914D98"/>
    <w:rsid w:val="00924405"/>
    <w:rsid w:val="00925F8C"/>
    <w:rsid w:val="00927324"/>
    <w:rsid w:val="00932E8B"/>
    <w:rsid w:val="00932ED7"/>
    <w:rsid w:val="00933990"/>
    <w:rsid w:val="00941B89"/>
    <w:rsid w:val="00941DEA"/>
    <w:rsid w:val="0096414A"/>
    <w:rsid w:val="009656CC"/>
    <w:rsid w:val="00970E8C"/>
    <w:rsid w:val="00971671"/>
    <w:rsid w:val="00977128"/>
    <w:rsid w:val="00977738"/>
    <w:rsid w:val="00981A37"/>
    <w:rsid w:val="009830B2"/>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215"/>
    <w:rsid w:val="00A333EF"/>
    <w:rsid w:val="00A33F85"/>
    <w:rsid w:val="00A40645"/>
    <w:rsid w:val="00A43624"/>
    <w:rsid w:val="00A44FF0"/>
    <w:rsid w:val="00A46752"/>
    <w:rsid w:val="00A54756"/>
    <w:rsid w:val="00A6016C"/>
    <w:rsid w:val="00A64D90"/>
    <w:rsid w:val="00A769B1"/>
    <w:rsid w:val="00A77DA3"/>
    <w:rsid w:val="00A80096"/>
    <w:rsid w:val="00A82EC8"/>
    <w:rsid w:val="00A837D5"/>
    <w:rsid w:val="00A83E04"/>
    <w:rsid w:val="00A87903"/>
    <w:rsid w:val="00A91091"/>
    <w:rsid w:val="00A91CF7"/>
    <w:rsid w:val="00A93EE3"/>
    <w:rsid w:val="00A94BA9"/>
    <w:rsid w:val="00A9535A"/>
    <w:rsid w:val="00AA4970"/>
    <w:rsid w:val="00AA536D"/>
    <w:rsid w:val="00AA7069"/>
    <w:rsid w:val="00AB22C0"/>
    <w:rsid w:val="00AB28FC"/>
    <w:rsid w:val="00AB49E4"/>
    <w:rsid w:val="00AB6355"/>
    <w:rsid w:val="00AC1479"/>
    <w:rsid w:val="00AC2AAC"/>
    <w:rsid w:val="00AC40F1"/>
    <w:rsid w:val="00AC4C45"/>
    <w:rsid w:val="00AD1085"/>
    <w:rsid w:val="00AD3DB7"/>
    <w:rsid w:val="00AD5B40"/>
    <w:rsid w:val="00AD69FB"/>
    <w:rsid w:val="00AF0DAC"/>
    <w:rsid w:val="00AF1F86"/>
    <w:rsid w:val="00AF289F"/>
    <w:rsid w:val="00AF30B9"/>
    <w:rsid w:val="00AF43DF"/>
    <w:rsid w:val="00AF67A4"/>
    <w:rsid w:val="00AF7510"/>
    <w:rsid w:val="00B063B5"/>
    <w:rsid w:val="00B12D31"/>
    <w:rsid w:val="00B15F6E"/>
    <w:rsid w:val="00B165CB"/>
    <w:rsid w:val="00B21BEE"/>
    <w:rsid w:val="00B23284"/>
    <w:rsid w:val="00B37D43"/>
    <w:rsid w:val="00B46F21"/>
    <w:rsid w:val="00B505F4"/>
    <w:rsid w:val="00B511A5"/>
    <w:rsid w:val="00B51CDE"/>
    <w:rsid w:val="00B56541"/>
    <w:rsid w:val="00B605ED"/>
    <w:rsid w:val="00B71F97"/>
    <w:rsid w:val="00B72538"/>
    <w:rsid w:val="00B736A7"/>
    <w:rsid w:val="00B7651F"/>
    <w:rsid w:val="00B76730"/>
    <w:rsid w:val="00B82786"/>
    <w:rsid w:val="00B919FA"/>
    <w:rsid w:val="00B94A16"/>
    <w:rsid w:val="00B960D6"/>
    <w:rsid w:val="00BA55AD"/>
    <w:rsid w:val="00BA6044"/>
    <w:rsid w:val="00BB13D9"/>
    <w:rsid w:val="00BB1A93"/>
    <w:rsid w:val="00BC14BF"/>
    <w:rsid w:val="00BC2625"/>
    <w:rsid w:val="00BC3200"/>
    <w:rsid w:val="00BC338A"/>
    <w:rsid w:val="00BD7AB0"/>
    <w:rsid w:val="00BF3C20"/>
    <w:rsid w:val="00C011BC"/>
    <w:rsid w:val="00C02423"/>
    <w:rsid w:val="00C03DBA"/>
    <w:rsid w:val="00C10121"/>
    <w:rsid w:val="00C112E7"/>
    <w:rsid w:val="00C11C78"/>
    <w:rsid w:val="00C11CD4"/>
    <w:rsid w:val="00C15061"/>
    <w:rsid w:val="00C1713D"/>
    <w:rsid w:val="00C20D9D"/>
    <w:rsid w:val="00C2134F"/>
    <w:rsid w:val="00C24718"/>
    <w:rsid w:val="00C24FC2"/>
    <w:rsid w:val="00C2675D"/>
    <w:rsid w:val="00C30AEE"/>
    <w:rsid w:val="00C3128B"/>
    <w:rsid w:val="00C33362"/>
    <w:rsid w:val="00C353AE"/>
    <w:rsid w:val="00C4194E"/>
    <w:rsid w:val="00C516B1"/>
    <w:rsid w:val="00C5350C"/>
    <w:rsid w:val="00C56E09"/>
    <w:rsid w:val="00C61B1B"/>
    <w:rsid w:val="00C63656"/>
    <w:rsid w:val="00C66AB7"/>
    <w:rsid w:val="00C673D1"/>
    <w:rsid w:val="00C7260D"/>
    <w:rsid w:val="00C746CB"/>
    <w:rsid w:val="00C77BBF"/>
    <w:rsid w:val="00C77D64"/>
    <w:rsid w:val="00C81564"/>
    <w:rsid w:val="00C9080C"/>
    <w:rsid w:val="00C921C3"/>
    <w:rsid w:val="00C94429"/>
    <w:rsid w:val="00CA18FD"/>
    <w:rsid w:val="00CA27E5"/>
    <w:rsid w:val="00CA4897"/>
    <w:rsid w:val="00CA6928"/>
    <w:rsid w:val="00CB3D3F"/>
    <w:rsid w:val="00CB5A1A"/>
    <w:rsid w:val="00CC59E6"/>
    <w:rsid w:val="00CD1888"/>
    <w:rsid w:val="00CD4F7E"/>
    <w:rsid w:val="00CD5BDD"/>
    <w:rsid w:val="00CE0D56"/>
    <w:rsid w:val="00CE41E7"/>
    <w:rsid w:val="00CF096B"/>
    <w:rsid w:val="00CF10F7"/>
    <w:rsid w:val="00CF27BB"/>
    <w:rsid w:val="00CF5EE3"/>
    <w:rsid w:val="00CF691F"/>
    <w:rsid w:val="00D00D99"/>
    <w:rsid w:val="00D013A4"/>
    <w:rsid w:val="00D026DC"/>
    <w:rsid w:val="00D03E88"/>
    <w:rsid w:val="00D07C4E"/>
    <w:rsid w:val="00D15595"/>
    <w:rsid w:val="00D343A8"/>
    <w:rsid w:val="00D37832"/>
    <w:rsid w:val="00D44860"/>
    <w:rsid w:val="00D46B5C"/>
    <w:rsid w:val="00D47689"/>
    <w:rsid w:val="00D50656"/>
    <w:rsid w:val="00D50C42"/>
    <w:rsid w:val="00D57CF5"/>
    <w:rsid w:val="00D612BC"/>
    <w:rsid w:val="00D62F98"/>
    <w:rsid w:val="00D66FD6"/>
    <w:rsid w:val="00D8285B"/>
    <w:rsid w:val="00D862EB"/>
    <w:rsid w:val="00D86619"/>
    <w:rsid w:val="00D93E7C"/>
    <w:rsid w:val="00DB2BE6"/>
    <w:rsid w:val="00DB76B3"/>
    <w:rsid w:val="00DC5C19"/>
    <w:rsid w:val="00DD1052"/>
    <w:rsid w:val="00DD167C"/>
    <w:rsid w:val="00DD3C7B"/>
    <w:rsid w:val="00DD5966"/>
    <w:rsid w:val="00DE2B21"/>
    <w:rsid w:val="00DE48DE"/>
    <w:rsid w:val="00DF25F2"/>
    <w:rsid w:val="00DF3B32"/>
    <w:rsid w:val="00DF4166"/>
    <w:rsid w:val="00DF6484"/>
    <w:rsid w:val="00DF648E"/>
    <w:rsid w:val="00E000F4"/>
    <w:rsid w:val="00E01231"/>
    <w:rsid w:val="00E03982"/>
    <w:rsid w:val="00E04279"/>
    <w:rsid w:val="00E079E2"/>
    <w:rsid w:val="00E11393"/>
    <w:rsid w:val="00E125D9"/>
    <w:rsid w:val="00E16D30"/>
    <w:rsid w:val="00E20DE0"/>
    <w:rsid w:val="00E270D0"/>
    <w:rsid w:val="00E31E69"/>
    <w:rsid w:val="00E33169"/>
    <w:rsid w:val="00E34A7B"/>
    <w:rsid w:val="00E3751F"/>
    <w:rsid w:val="00E40973"/>
    <w:rsid w:val="00E45507"/>
    <w:rsid w:val="00E47CD1"/>
    <w:rsid w:val="00E5013C"/>
    <w:rsid w:val="00E545FF"/>
    <w:rsid w:val="00E6080E"/>
    <w:rsid w:val="00E64168"/>
    <w:rsid w:val="00E655B3"/>
    <w:rsid w:val="00E6769A"/>
    <w:rsid w:val="00E7081D"/>
    <w:rsid w:val="00E70904"/>
    <w:rsid w:val="00E71319"/>
    <w:rsid w:val="00E75171"/>
    <w:rsid w:val="00E804B0"/>
    <w:rsid w:val="00E834AC"/>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C27"/>
    <w:rsid w:val="00EE1C85"/>
    <w:rsid w:val="00EE54BF"/>
    <w:rsid w:val="00EE5FFC"/>
    <w:rsid w:val="00EF21D9"/>
    <w:rsid w:val="00EF2A94"/>
    <w:rsid w:val="00EF32FB"/>
    <w:rsid w:val="00EF44B1"/>
    <w:rsid w:val="00EF4865"/>
    <w:rsid w:val="00EF5954"/>
    <w:rsid w:val="00F100D2"/>
    <w:rsid w:val="00F11996"/>
    <w:rsid w:val="00F12942"/>
    <w:rsid w:val="00F13C41"/>
    <w:rsid w:val="00F14496"/>
    <w:rsid w:val="00F14886"/>
    <w:rsid w:val="00F16421"/>
    <w:rsid w:val="00F201EE"/>
    <w:rsid w:val="00F23B48"/>
    <w:rsid w:val="00F24CCF"/>
    <w:rsid w:val="00F30AD1"/>
    <w:rsid w:val="00F323FE"/>
    <w:rsid w:val="00F35AA0"/>
    <w:rsid w:val="00F43C49"/>
    <w:rsid w:val="00F454B9"/>
    <w:rsid w:val="00F45C12"/>
    <w:rsid w:val="00F53DD4"/>
    <w:rsid w:val="00F544A2"/>
    <w:rsid w:val="00F73D03"/>
    <w:rsid w:val="00F76CB9"/>
    <w:rsid w:val="00F77A73"/>
    <w:rsid w:val="00F80E46"/>
    <w:rsid w:val="00F85F86"/>
    <w:rsid w:val="00F96236"/>
    <w:rsid w:val="00F972B3"/>
    <w:rsid w:val="00FA10CE"/>
    <w:rsid w:val="00FA210D"/>
    <w:rsid w:val="00FA222F"/>
    <w:rsid w:val="00FA26A4"/>
    <w:rsid w:val="00FA2891"/>
    <w:rsid w:val="00FB693D"/>
    <w:rsid w:val="00FB7768"/>
    <w:rsid w:val="00FC7489"/>
    <w:rsid w:val="00FD1BA8"/>
    <w:rsid w:val="00FD218F"/>
    <w:rsid w:val="00FD25F2"/>
    <w:rsid w:val="00FD5663"/>
    <w:rsid w:val="00FD56C6"/>
    <w:rsid w:val="00FE1921"/>
    <w:rsid w:val="00FE3070"/>
    <w:rsid w:val="00FE3221"/>
    <w:rsid w:val="00FE48EA"/>
    <w:rsid w:val="00FE571F"/>
    <w:rsid w:val="00FF47F6"/>
    <w:rsid w:val="016E63C2"/>
    <w:rsid w:val="01A15E4A"/>
    <w:rsid w:val="024B0C39"/>
    <w:rsid w:val="03377AA2"/>
    <w:rsid w:val="0A8128A6"/>
    <w:rsid w:val="0ADF4EB4"/>
    <w:rsid w:val="0BF32A1B"/>
    <w:rsid w:val="0EAF2129"/>
    <w:rsid w:val="10BD2C22"/>
    <w:rsid w:val="12580ADD"/>
    <w:rsid w:val="198B48AC"/>
    <w:rsid w:val="1C7A05BE"/>
    <w:rsid w:val="1DC11D64"/>
    <w:rsid w:val="22987C80"/>
    <w:rsid w:val="24192CCC"/>
    <w:rsid w:val="2B4827B1"/>
    <w:rsid w:val="3067587A"/>
    <w:rsid w:val="39A66CD4"/>
    <w:rsid w:val="3CD52CE1"/>
    <w:rsid w:val="410F2E6A"/>
    <w:rsid w:val="43652B30"/>
    <w:rsid w:val="4430136C"/>
    <w:rsid w:val="4AB0382B"/>
    <w:rsid w:val="4C7E6B4A"/>
    <w:rsid w:val="569868B5"/>
    <w:rsid w:val="611F6817"/>
    <w:rsid w:val="66CA1754"/>
    <w:rsid w:val="6A683997"/>
    <w:rsid w:val="6F1E65D4"/>
    <w:rsid w:val="6F266C86"/>
    <w:rsid w:val="6F5042C2"/>
    <w:rsid w:val="7338234B"/>
    <w:rsid w:val="7383089D"/>
    <w:rsid w:val="74316312"/>
    <w:rsid w:val="7523476D"/>
    <w:rsid w:val="780F13C8"/>
    <w:rsid w:val="7B125EF1"/>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autoRedefine/>
    <w:qFormat/>
    <w:uiPriority w:val="99"/>
    <w:pPr>
      <w:widowControl w:val="0"/>
    </w:pPr>
    <w:rPr>
      <w:rFonts w:ascii="Times New Roman" w:hAnsi="Times New Roman" w:cs="Times New Roman"/>
      <w:kern w:val="2"/>
      <w:sz w:val="21"/>
    </w:rPr>
  </w:style>
  <w:style w:type="paragraph" w:styleId="4">
    <w:name w:val="Body Text Indent"/>
    <w:basedOn w:val="1"/>
    <w:link w:val="26"/>
    <w:autoRedefine/>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autoRedefine/>
    <w:semiHidden/>
    <w:qFormat/>
    <w:uiPriority w:val="99"/>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Emphasis"/>
    <w:autoRedefine/>
    <w:qFormat/>
    <w:uiPriority w:val="0"/>
    <w:rPr>
      <w:color w:val="C60A00"/>
    </w:rPr>
  </w:style>
  <w:style w:type="character" w:customStyle="1" w:styleId="14">
    <w:name w:val="页眉 字符"/>
    <w:basedOn w:val="11"/>
    <w:link w:val="7"/>
    <w:autoRedefine/>
    <w:semiHidden/>
    <w:qFormat/>
    <w:uiPriority w:val="99"/>
    <w:rPr>
      <w:sz w:val="18"/>
      <w:szCs w:val="18"/>
    </w:rPr>
  </w:style>
  <w:style w:type="character" w:customStyle="1" w:styleId="15">
    <w:name w:val="页脚 字符"/>
    <w:basedOn w:val="11"/>
    <w:link w:val="6"/>
    <w:autoRedefine/>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字符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字符1"/>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0E3D7-94BD-45D7-BA8A-F3ECF62365C1}">
  <ds:schemaRefs/>
</ds:datastoreItem>
</file>

<file path=docProps/app.xml><?xml version="1.0" encoding="utf-8"?>
<Properties xmlns="http://schemas.openxmlformats.org/officeDocument/2006/extended-properties" xmlns:vt="http://schemas.openxmlformats.org/officeDocument/2006/docPropsVTypes">
  <Template>Normal</Template>
  <Pages>8</Pages>
  <Words>727</Words>
  <Characters>798</Characters>
  <Lines>41</Lines>
  <Paragraphs>11</Paragraphs>
  <TotalTime>0</TotalTime>
  <ScaleCrop>false</ScaleCrop>
  <LinksUpToDate>false</LinksUpToDate>
  <CharactersWithSpaces>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2025-03-18T05:59:51Z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1AB9C720E20F42449F3DBA36AB96C87E_12</vt:lpwstr>
  </property>
  <property fmtid="{D5CDD505-2E9C-101B-9397-08002B2CF9AE}" pid="4" name="KSOTemplateDocerSaveRecord">
    <vt:lpwstr>eyJoZGlkIjoiOGYyZTQwNzY0YmUwZjVjNTE5NzMzOGJiOTgwZmM0NTEiLCJ1c2VySWQiOiI1NTQ0NjQ5MzAifQ==</vt:lpwstr>
  </property>
</Properties>
</file>